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pPr>
      <w:bookmarkStart w:id="0" w:name="_Toc11120"/>
      <w:bookmarkStart w:id="1" w:name="_Toc54276879"/>
      <w:r>
        <w:t>广西农业职业技术</w:t>
      </w:r>
      <w:bookmarkEnd w:id="0"/>
      <w:bookmarkEnd w:id="1"/>
      <w:bookmarkStart w:id="2" w:name="_Toc20722"/>
      <w:r>
        <w:t>大学</w:t>
      </w:r>
    </w:p>
    <w:p>
      <w:pPr>
        <w:pStyle w:val="36"/>
        <w:rPr>
          <w:rFonts w:hint="eastAsia"/>
        </w:rPr>
      </w:pPr>
      <w:bookmarkStart w:id="3" w:name="_Toc54276880"/>
      <w:r>
        <w:t>货物</w:t>
      </w:r>
      <w:r>
        <w:rPr>
          <w:rFonts w:hint="eastAsia"/>
        </w:rPr>
        <w:t>、</w:t>
      </w:r>
      <w:r>
        <w:t>服务类</w:t>
      </w:r>
      <w:r>
        <w:rPr>
          <w:rFonts w:hint="eastAsia"/>
        </w:rPr>
        <w:t>采购项目需求</w:t>
      </w:r>
      <w:r>
        <w:rPr>
          <w:rFonts w:hint="eastAsia"/>
          <w:lang w:eastAsia="zh-CN"/>
        </w:rPr>
        <w:t>整理</w:t>
      </w:r>
      <w:r>
        <w:rPr>
          <w:rFonts w:hint="eastAsia"/>
        </w:rPr>
        <w:t>表</w:t>
      </w:r>
      <w:bookmarkEnd w:id="2"/>
      <w:bookmarkEnd w:id="3"/>
    </w:p>
    <w:p>
      <w:pPr>
        <w:bidi w:val="0"/>
        <w:rPr>
          <w:rFonts w:hint="eastAsia" w:ascii="宋体" w:hAnsi="宋体" w:eastAsia="宋体" w:cs="宋体"/>
          <w:b/>
          <w:bCs/>
          <w:sz w:val="30"/>
          <w:szCs w:val="30"/>
        </w:rPr>
      </w:pPr>
      <w:bookmarkStart w:id="4" w:name="_GoBack"/>
      <w:r>
        <w:rPr>
          <w:rFonts w:hint="eastAsia" w:ascii="宋体" w:hAnsi="宋体" w:eastAsia="宋体" w:cs="宋体"/>
          <w:b/>
          <w:bCs/>
          <w:sz w:val="30"/>
          <w:szCs w:val="30"/>
          <w:lang w:val="en-US" w:eastAsia="zh-CN"/>
        </w:rPr>
        <w:t>标段2：中草药栽培加工仪器设备</w:t>
      </w:r>
    </w:p>
    <w:bookmarkEnd w:id="4"/>
    <w:tbl>
      <w:tblPr>
        <w:tblStyle w:val="27"/>
        <w:tblW w:w="5061" w:type="pct"/>
        <w:jc w:val="center"/>
        <w:tblLayout w:type="fixed"/>
        <w:tblCellMar>
          <w:top w:w="0" w:type="dxa"/>
          <w:left w:w="0" w:type="dxa"/>
          <w:bottom w:w="0" w:type="dxa"/>
          <w:right w:w="0" w:type="dxa"/>
        </w:tblCellMar>
      </w:tblPr>
      <w:tblGrid>
        <w:gridCol w:w="508"/>
        <w:gridCol w:w="613"/>
        <w:gridCol w:w="704"/>
        <w:gridCol w:w="158"/>
        <w:gridCol w:w="3440"/>
        <w:gridCol w:w="505"/>
        <w:gridCol w:w="520"/>
        <w:gridCol w:w="469"/>
        <w:gridCol w:w="738"/>
        <w:gridCol w:w="815"/>
      </w:tblGrid>
      <w:tr>
        <w:tblPrEx>
          <w:tblCellMar>
            <w:top w:w="0" w:type="dxa"/>
            <w:left w:w="0" w:type="dxa"/>
            <w:bottom w:w="0" w:type="dxa"/>
            <w:right w:w="0" w:type="dxa"/>
          </w:tblCellMar>
        </w:tblPrEx>
        <w:trPr>
          <w:trHeight w:val="681" w:hRule="atLeast"/>
          <w:jc w:val="center"/>
        </w:trPr>
        <w:tc>
          <w:tcPr>
            <w:tcW w:w="1170" w:type="pct"/>
            <w:gridSpan w:val="4"/>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项目名称</w:t>
            </w:r>
          </w:p>
        </w:tc>
        <w:tc>
          <w:tcPr>
            <w:tcW w:w="3829" w:type="pct"/>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21"/>
                <w:szCs w:val="21"/>
                <w:highlight w:val="none"/>
                <w:lang w:val="en-US" w:eastAsia="zh-CN" w:bidi="ar-SA"/>
              </w:rPr>
              <w:t>药食同源新产品技术创新实训室建设采购项目</w:t>
            </w:r>
          </w:p>
        </w:tc>
      </w:tr>
      <w:tr>
        <w:tblPrEx>
          <w:tblCellMar>
            <w:top w:w="0" w:type="dxa"/>
            <w:left w:w="0" w:type="dxa"/>
            <w:bottom w:w="0" w:type="dxa"/>
            <w:right w:w="0" w:type="dxa"/>
          </w:tblCellMar>
        </w:tblPrEx>
        <w:trPr>
          <w:trHeight w:val="730" w:hRule="atLeast"/>
          <w:jc w:val="center"/>
        </w:trPr>
        <w:tc>
          <w:tcPr>
            <w:tcW w:w="1170" w:type="pct"/>
            <w:gridSpan w:val="4"/>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主要采购内容</w:t>
            </w:r>
          </w:p>
        </w:tc>
        <w:tc>
          <w:tcPr>
            <w:tcW w:w="3829" w:type="pct"/>
            <w:gridSpan w:val="6"/>
            <w:tcBorders>
              <w:top w:val="single" w:color="auto" w:sz="4" w:space="0"/>
              <w:left w:val="single" w:color="auto" w:sz="4" w:space="0"/>
              <w:bottom w:val="single" w:color="auto" w:sz="4" w:space="0"/>
              <w:right w:val="single" w:color="auto" w:sz="4" w:space="0"/>
            </w:tcBorders>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21"/>
                <w:szCs w:val="21"/>
                <w:highlight w:val="none"/>
                <w:lang w:val="en-US" w:eastAsia="zh-CN" w:bidi="ar-SA"/>
              </w:rPr>
              <w:t>冰箱、旋转蒸发仪、</w:t>
            </w:r>
            <w:r>
              <w:rPr>
                <w:rFonts w:hint="eastAsia" w:ascii="宋体" w:hAnsi="宋体" w:eastAsia="宋体" w:cs="宋体"/>
                <w:b/>
                <w:bCs/>
                <w:color w:val="auto"/>
                <w:kern w:val="0"/>
                <w:sz w:val="21"/>
                <w:szCs w:val="21"/>
                <w:highlight w:val="none"/>
                <w:lang w:val="en-US" w:eastAsia="zh-CN" w:bidi="ar-SA"/>
              </w:rPr>
              <w:t>自动进样器等</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▲一、技术要求</w:t>
            </w:r>
          </w:p>
        </w:tc>
      </w:tr>
      <w:tr>
        <w:tblPrEx>
          <w:tblCellMar>
            <w:top w:w="0" w:type="dxa"/>
            <w:left w:w="0" w:type="dxa"/>
            <w:bottom w:w="0" w:type="dxa"/>
            <w:right w:w="0" w:type="dxa"/>
          </w:tblCellMar>
        </w:tblPrEx>
        <w:trPr>
          <w:trHeight w:val="567"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序号</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采购内容</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0"/>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参考品牌型号</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技术参数</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计量</w:t>
            </w:r>
          </w:p>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单位</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数量</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单价（元）</w:t>
            </w:r>
          </w:p>
        </w:tc>
        <w:tc>
          <w:tcPr>
            <w:tcW w:w="435"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小计</w:t>
            </w:r>
          </w:p>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（元）</w:t>
            </w:r>
          </w:p>
        </w:tc>
        <w:tc>
          <w:tcPr>
            <w:tcW w:w="481" w:type="pct"/>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备注</w:t>
            </w:r>
          </w:p>
          <w:p>
            <w:pPr>
              <w:jc w:val="center"/>
              <w:rPr>
                <w:rFonts w:ascii="宋体" w:hAnsi="宋体" w:eastAsia="宋体" w:cs="宋体"/>
                <w:b/>
                <w:bCs/>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（修改意见或建议等）</w:t>
            </w:r>
          </w:p>
        </w:tc>
      </w:tr>
      <w:tr>
        <w:tblPrEx>
          <w:tblCellMar>
            <w:top w:w="0" w:type="dxa"/>
            <w:left w:w="0" w:type="dxa"/>
            <w:bottom w:w="0" w:type="dxa"/>
            <w:right w:w="0" w:type="dxa"/>
          </w:tblCellMar>
        </w:tblPrEx>
        <w:trPr>
          <w:trHeight w:val="435"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jc w:val="center"/>
              <w:rPr>
                <w:rFonts w:ascii="宋体" w:hAnsi="宋体" w:eastAsia="宋体" w:cs="宋体"/>
                <w:color w:val="auto"/>
                <w:kern w:val="0"/>
                <w:sz w:val="18"/>
                <w:szCs w:val="18"/>
                <w:highlight w:val="none"/>
                <w:lang w:val="en-US" w:eastAsia="zh-CN" w:bidi="zh-CN"/>
              </w:rPr>
            </w:pPr>
            <w:r>
              <w:rPr>
                <w:rFonts w:hint="eastAsia" w:ascii="宋体" w:hAnsi="宋体" w:eastAsia="宋体" w:cs="宋体"/>
                <w:b/>
                <w:bCs/>
                <w:color w:val="auto"/>
                <w:kern w:val="2"/>
                <w:sz w:val="18"/>
                <w:szCs w:val="18"/>
                <w:highlight w:val="none"/>
                <w:lang w:val="en-US" w:eastAsia="zh-CN" w:bidi="ar-SA"/>
              </w:rPr>
              <w:t>标段2：中草药栽培加工仪器设备</w:t>
            </w:r>
          </w:p>
        </w:tc>
      </w:tr>
      <w:tr>
        <w:tblPrEx>
          <w:tblCellMar>
            <w:top w:w="0" w:type="dxa"/>
            <w:left w:w="0" w:type="dxa"/>
            <w:bottom w:w="0" w:type="dxa"/>
            <w:right w:w="0" w:type="dxa"/>
          </w:tblCellMar>
        </w:tblPrEx>
        <w:trPr>
          <w:trHeight w:val="1392"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1</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生化培养箱</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上海齐欣/LRH-250F;上海一恒/LRH-250F;上海精其LRH-250F</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一、产品性能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1.带定时功能键的数显微电脑温度控制器，控温精确可靠。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2.采用镜面304不锈钢内胆，半圆弧四角易清洁，箱内搁板间距可调。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3.采用玻璃观察窗，观察方便明了。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二、技术参数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1.控温范围:0℃～60℃</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2.温度分辨率:≤0.1℃。</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3.恒温波动度:±0.5℃。</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4.工作环境温度:5℃～35℃。</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5.容积约(L):≥250。</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6.定时范围:1～9999 minutes</w:t>
            </w:r>
            <w:r>
              <w:rPr>
                <w:rFonts w:hint="eastAsia" w:ascii="宋体" w:hAnsi="宋体" w:eastAsia="宋体" w:cs="宋体"/>
                <w:color w:val="auto"/>
                <w:kern w:val="2"/>
                <w:sz w:val="18"/>
                <w:szCs w:val="18"/>
                <w:highlight w:val="none"/>
                <w:lang w:val="en-US" w:eastAsia="zh-CN" w:bidi="ar-SA"/>
              </w:rPr>
              <w:tab/>
            </w:r>
            <w:r>
              <w:rPr>
                <w:rFonts w:hint="eastAsia" w:ascii="宋体" w:hAnsi="宋体" w:eastAsia="宋体" w:cs="宋体"/>
                <w:color w:val="auto"/>
                <w:kern w:val="2"/>
                <w:sz w:val="18"/>
                <w:szCs w:val="18"/>
                <w:highlight w:val="none"/>
                <w:lang w:val="en-US" w:eastAsia="zh-CN" w:bidi="ar-SA"/>
              </w:rPr>
              <w:tab/>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7.载物托架：4块304不锈钢材质</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r>
      <w:tr>
        <w:tblPrEx>
          <w:tblCellMar>
            <w:top w:w="0" w:type="dxa"/>
            <w:left w:w="0" w:type="dxa"/>
            <w:bottom w:w="0" w:type="dxa"/>
            <w:right w:w="0" w:type="dxa"/>
          </w:tblCellMar>
        </w:tblPrEx>
        <w:trPr>
          <w:trHeight w:val="518"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2</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人工气候箱</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泰宏君/LRH-325C-GSIE；上海齐欣/KRQ-300F，沪粤明/LRH -325-GSI</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一、设备性能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1.箱体为高压聚氨酯成型，保温性能优异，坚固牢靠。</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2.箱体外部为优质冷轧钢板喷塑处理，内部采用拉丝不锈钢304内胆，箱内搁板间距可调。</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3.压缩机采用环保无氟制冷剂（R134a）。</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4.微电脑PID控制，带定时功能。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5.SMOOTH整体风道均匀系统，温度控制更精准。</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6.独立限温报警系统，双重限温（±4℃及上限70℃）保护，超过限制温度即自动中断。</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7.液晶显示屏，时钟显示和定时功能便于观察培养时间，可设置0-9999分钟的定时时间。</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8.箱体左侧有一直径30mm的测试孔，便于实验操作与测量温度。</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9.自诊断功能，故障全程自动监控，故障代码直观指示。</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10.光照：两层垂直式顶置光源LED植物生长灯，光照编程可设定白天黑夜模式和30时段99周期运行，模拟全天候、自然界的植物生长环境。</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11.载物托架（标配）：4个304不锈钢材质</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二、主要技术指标</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1.容积约：≥320L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2.控温：5～65℃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3.温度波动度：±0.8℃</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4.温度分辨率 ：≤0.1℃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5.温度均匀度：±1.5℃</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6.控湿范围：50%-95%RH</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7.湿度波动度：±8%</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8.湿度分辨率 ：</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0.1%</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9.光照度：0～25000LX</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10.功率：≥624W</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11.电源：220VAC 50HZ</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12.制冷剂：R134a</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r>
      <w:tr>
        <w:tblPrEx>
          <w:tblCellMar>
            <w:top w:w="0" w:type="dxa"/>
            <w:left w:w="0" w:type="dxa"/>
            <w:bottom w:w="0" w:type="dxa"/>
            <w:right w:w="0" w:type="dxa"/>
          </w:tblCellMar>
        </w:tblPrEx>
        <w:trPr>
          <w:trHeight w:val="1744"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3</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万能拉伸机</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深圳三思</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/UTM4304；东来检测/XWW-20A；达沃斯/DWS-9000B</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一、技术参数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测量参数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1.最大试验力：≥30kN</w:t>
            </w:r>
            <w:r>
              <w:rPr>
                <w:rFonts w:ascii="宋体" w:hAnsi="宋体" w:eastAsia="宋体" w:cs="宋体"/>
                <w:color w:val="auto"/>
                <w:kern w:val="2"/>
                <w:sz w:val="18"/>
                <w:szCs w:val="18"/>
                <w:highlight w:val="none"/>
                <w:lang w:val="en-US" w:eastAsia="zh-CN" w:bidi="ar-SA"/>
              </w:rPr>
              <w:t>（高精度负荷传感器）</w:t>
            </w:r>
            <w:r>
              <w:rPr>
                <w:rFonts w:hint="eastAsia"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2.准确度等级：</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0.5级；</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3.试验力测量范围：0.4%～100%F.S；</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 试验力示值误差：示值的±0.5%以内；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 试验力分辨力：</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50万码，全程不分档，且全程分辨率不变；</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 位移示值误差：示值的±0.5%以内；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 位移分辨率：≤0.04μm；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 变形测量范围：0.4%～100%F.S；</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 变形示值相对误差：示值的±0.5%以内；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控制参数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1.应力控制速率范围：0.005～5%FS/s；</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 应力控制速率精度：</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速率＜0.05%FS/s时，为设定值的±1%以内，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速率≥0.05%FS/s时，为设定值的±0.5%以内；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 应变控制速率范围：0.005～5%FS/s；</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 应变控制速率精度：</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速率＜0.05%FS/s时，为设定值的±1%以内，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速率≥0.05%FS/s时，为设定值的±0.5%以内；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 位移控制速率范围：0.001～500mm/min；</w:t>
            </w:r>
          </w:p>
          <w:p>
            <w:pP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 位移控制速率精度：设定值的±0.5%以内；</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二、其他参数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1.有效试验宽度：≥400mm；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2.横梁移动行程（不安装夹具）：0～1100mm；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3.电源：电压220V/50Hz±10%；功率≥1kW；</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4.配有伺服电机及伺服器</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5.含减速系统</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6.连机专用试验软件</w:t>
            </w:r>
            <w:r>
              <w:rPr>
                <w:rFonts w:ascii="宋体" w:hAnsi="宋体" w:eastAsia="宋体" w:cs="宋体"/>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用户设置；权限设置；登录/切换；密码修改；软件主界面；数据记录查询界面；参数界面； 温度控制； 结果界面；单图界面；多图界面；控制界面；分析界面；特征点计算设置；单图/结果。</w:t>
            </w:r>
            <w:r>
              <w:rPr>
                <w:rFonts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三、设备夹具及附件配置</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 楔形拉伸夹具一套（平夹块：0-7mm）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2.压缩夹具一 套（盘径100mm）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3.三点弯曲夹具一套（最大跨距180mm，弯芯R5，支辊R2/R5，宽度40mm）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4.电子引伸计一套（标距50mm，变形量25mm）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5.随机工具及资料一套 </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r>
      <w:tr>
        <w:tblPrEx>
          <w:tblCellMar>
            <w:top w:w="0" w:type="dxa"/>
            <w:left w:w="0" w:type="dxa"/>
            <w:bottom w:w="0" w:type="dxa"/>
            <w:right w:w="0" w:type="dxa"/>
          </w:tblCellMar>
        </w:tblPrEx>
        <w:trPr>
          <w:trHeight w:val="1041"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4</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气体透过率测试仪</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济南众测/GTR-G1，山东博谱/PK-QT08;上海品魁/PK-QT08</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一、设备功能</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1.仪器带有自动保压功能，可实时调整测试过程中上腔压力，保证测过过程中上下腔压差的恒定</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7寸彩色触控屏，搭配专业操作系统，整个实验过程自动完成，实现结果自动显示</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3.提供比例和模糊双重试验过程判断模式</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4.系统具备自检测能力，确保设备随时处于正常测试状态</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5.可同时测定试样的气体透过率、溶解度系数、扩散系数</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6.测试量程可根据需要进行扩展，满足大透过率测试的要求</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7.具有断电自动保存功能</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8.配备RS232通用数据接口，方便数据传递</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9.测试过程全程监控、自动记录，并可全程重现</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二、技术参数</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1.测量范围：0.05～50000cm</w:t>
            </w:r>
            <w:r>
              <w:rPr>
                <w:rFonts w:hint="eastAsia" w:ascii="宋体" w:hAnsi="宋体" w:eastAsia="宋体" w:cs="宋体"/>
                <w:color w:val="auto"/>
                <w:kern w:val="2"/>
                <w:sz w:val="18"/>
                <w:szCs w:val="18"/>
                <w:highlight w:val="none"/>
                <w:vertAlign w:val="superscript"/>
                <w:lang w:val="en-US" w:eastAsia="zh-CN" w:bidi="ar-SA"/>
              </w:rPr>
              <w:t>3</w:t>
            </w:r>
            <w:r>
              <w:rPr>
                <w:rFonts w:hint="eastAsia" w:ascii="宋体" w:hAnsi="宋体" w:eastAsia="宋体" w:cs="宋体"/>
                <w:color w:val="auto"/>
                <w:kern w:val="2"/>
                <w:sz w:val="18"/>
                <w:szCs w:val="18"/>
                <w:highlight w:val="none"/>
                <w:lang w:val="en-US" w:eastAsia="zh-CN" w:bidi="ar-SA"/>
              </w:rPr>
              <w:t>/m</w:t>
            </w:r>
            <w:r>
              <w:rPr>
                <w:rFonts w:hint="eastAsia" w:ascii="宋体" w:hAnsi="宋体" w:eastAsia="宋体" w:cs="宋体"/>
                <w:color w:val="auto"/>
                <w:kern w:val="2"/>
                <w:sz w:val="18"/>
                <w:szCs w:val="18"/>
                <w:highlight w:val="none"/>
                <w:vertAlign w:val="superscript"/>
                <w:lang w:val="en-US" w:eastAsia="zh-CN" w:bidi="ar-SA"/>
              </w:rPr>
              <w:t>2</w:t>
            </w:r>
            <w:r>
              <w:rPr>
                <w:rFonts w:hint="eastAsia" w:ascii="宋体" w:hAnsi="宋体" w:eastAsia="宋体" w:cs="宋体"/>
                <w:color w:val="auto"/>
                <w:kern w:val="2"/>
                <w:sz w:val="18"/>
                <w:szCs w:val="18"/>
                <w:highlight w:val="none"/>
                <w:lang w:val="en-US" w:eastAsia="zh-CN" w:bidi="ar-SA"/>
              </w:rPr>
              <w:t>·24h·0.1MPa（标配）</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2.分辨率≤:0.01m</w:t>
            </w:r>
            <w:r>
              <w:rPr>
                <w:rFonts w:hint="eastAsia" w:ascii="宋体" w:hAnsi="宋体" w:eastAsia="宋体" w:cs="宋体"/>
                <w:color w:val="auto"/>
                <w:kern w:val="2"/>
                <w:sz w:val="18"/>
                <w:szCs w:val="18"/>
                <w:highlight w:val="none"/>
                <w:vertAlign w:val="superscript"/>
                <w:lang w:val="en-US" w:eastAsia="zh-CN" w:bidi="ar-SA"/>
              </w:rPr>
              <w:t>3</w:t>
            </w:r>
            <w:r>
              <w:rPr>
                <w:rFonts w:hint="eastAsia" w:ascii="宋体" w:hAnsi="宋体" w:eastAsia="宋体" w:cs="宋体"/>
                <w:color w:val="auto"/>
                <w:kern w:val="2"/>
                <w:sz w:val="18"/>
                <w:szCs w:val="18"/>
                <w:highlight w:val="none"/>
                <w:lang w:val="en-US" w:eastAsia="zh-CN" w:bidi="ar-SA"/>
              </w:rPr>
              <w:t>/m</w:t>
            </w:r>
            <w:r>
              <w:rPr>
                <w:rFonts w:hint="eastAsia" w:ascii="宋体" w:hAnsi="宋体" w:eastAsia="宋体" w:cs="宋体"/>
                <w:color w:val="auto"/>
                <w:kern w:val="2"/>
                <w:sz w:val="18"/>
                <w:szCs w:val="18"/>
                <w:highlight w:val="none"/>
                <w:vertAlign w:val="superscript"/>
                <w:lang w:val="en-US" w:eastAsia="zh-CN" w:bidi="ar-SA"/>
              </w:rPr>
              <w:t>2</w:t>
            </w:r>
            <w:r>
              <w:rPr>
                <w:rFonts w:hint="eastAsia" w:ascii="宋体" w:hAnsi="宋体" w:eastAsia="宋体" w:cs="宋体"/>
                <w:color w:val="auto"/>
                <w:kern w:val="2"/>
                <w:sz w:val="18"/>
                <w:szCs w:val="18"/>
                <w:highlight w:val="none"/>
                <w:lang w:val="en-US" w:eastAsia="zh-CN" w:bidi="ar-SA"/>
              </w:rPr>
              <w:t>·24h·0.1MPa</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3.试样数量:1件</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4.主传感器数量:1个</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5.测试模式:单腔</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6.真空分辨率:≤0.1Pa</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7.真空度:＜20Pa</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8.温控范围:5℃～95℃</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9.控温精度:±0.1℃</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10.气源压力:0.1 MPa～0.8 MPa</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11.试验气体:O₂、N₂、H₂、CO₂或者其它气体 </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12.载气接口:</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Ф6mm</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13.真空管径:外径</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32mm，内径</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24mm</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14.校正方式:标准膜校正、真空传感器外校</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15.样品厚度:≤3mm</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16.测试面积:</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Φ97mm</w:t>
            </w:r>
          </w:p>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17.主机电源:AC 220V 50Hz</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zh-CN"/>
              </w:rPr>
            </w:pPr>
          </w:p>
        </w:tc>
      </w:tr>
      <w:tr>
        <w:tblPrEx>
          <w:tblCellMar>
            <w:top w:w="0" w:type="dxa"/>
            <w:left w:w="0" w:type="dxa"/>
            <w:bottom w:w="0" w:type="dxa"/>
            <w:right w:w="0" w:type="dxa"/>
          </w:tblCellMar>
        </w:tblPrEx>
        <w:trPr>
          <w:trHeight w:val="567"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5</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水蒸气透过率测试仪</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济南众测</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/WVTR-I1;山东博谱/BP-W01;上海品魁/PK-SZQ06</w:t>
            </w:r>
          </w:p>
          <w:p>
            <w:pPr>
              <w:rPr>
                <w:rFonts w:ascii="宋体" w:hAnsi="宋体" w:eastAsia="宋体" w:cs="宋体"/>
                <w:color w:val="auto"/>
                <w:kern w:val="2"/>
                <w:sz w:val="18"/>
                <w:szCs w:val="18"/>
                <w:highlight w:val="none"/>
                <w:lang w:val="en-US" w:eastAsia="zh-CN" w:bidi="ar-SA"/>
              </w:rPr>
            </w:pP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一、设备功能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1.激光式脉冲调制红外传感器，长光程吸收，测量精度更高；</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2.可实现测试上下腔及传感器的独立控温，有效保证了测试结果的准确性；</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3.式样夹持部位采用自主研发防侧漏密封技术，保证了测试的准确性；</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4.双压法控湿，全自动精密调控湿度，调控范围广；</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7寸高清触控屏搭配智能化的数据处理功能，为用户提供舒适流畅的操作体验；</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6.比例、循环多种试验模式可选，轻松应对不同测试场景；</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7.具有断电自动保存功能，避免因突发情况导致测试中断；</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8.测试过程全程自动记录，自动判断试验结束并保存测试结果；</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9.系统具备自检测能力，避免故障状态下继续测试；</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10.气体流量实时监控，少气或者无气时自动报警；</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11.可快速接入的温湿度检定插口，方便用户进行快速校准；</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二、专业软件</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1.简洁直观的操作界面、拥有用户自定义测试功能以及完善的数据分析和报告功能；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2.备的窗口显示、曲线实时显示、试验报告自定义、原始数据导出功能；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3.全程监控、自动记录测试数据、采样率可根 据需要调整、自动重复测试；</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4.软件可选配数据可溯源性，可实现多级权限管理、审计追踪、电子签名等功能，符合GMP的要求；</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三、技术参数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1.测试范围：薄膜：0.001～40 g/m</w:t>
            </w:r>
            <w:r>
              <w:rPr>
                <w:rFonts w:hint="eastAsia" w:ascii="宋体" w:hAnsi="宋体" w:eastAsia="宋体" w:cs="宋体"/>
                <w:color w:val="auto"/>
                <w:kern w:val="2"/>
                <w:sz w:val="18"/>
                <w:szCs w:val="18"/>
                <w:highlight w:val="none"/>
                <w:vertAlign w:val="superscript"/>
                <w:lang w:val="en-US" w:eastAsia="zh-CN" w:bidi="ar-SA"/>
              </w:rPr>
              <w:t>2</w:t>
            </w:r>
            <w:r>
              <w:rPr>
                <w:rFonts w:hint="eastAsia" w:ascii="宋体" w:hAnsi="宋体" w:eastAsia="宋体" w:cs="宋体"/>
                <w:color w:val="auto"/>
                <w:kern w:val="2"/>
                <w:sz w:val="18"/>
                <w:szCs w:val="18"/>
                <w:highlight w:val="none"/>
                <w:lang w:val="en-US" w:eastAsia="zh-CN" w:bidi="ar-SA"/>
              </w:rPr>
              <w:t xml:space="preserve">·24h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2.分辨率：≤0.001g/㎡·24h</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3.试样面积：≥50cm</w:t>
            </w:r>
            <w:r>
              <w:rPr>
                <w:rFonts w:hint="eastAsia" w:ascii="宋体" w:hAnsi="宋体" w:eastAsia="宋体" w:cs="宋体"/>
                <w:color w:val="auto"/>
                <w:kern w:val="2"/>
                <w:sz w:val="18"/>
                <w:szCs w:val="18"/>
                <w:highlight w:val="none"/>
                <w:vertAlign w:val="superscript"/>
                <w:lang w:val="en-US" w:eastAsia="zh-CN" w:bidi="ar-SA"/>
              </w:rPr>
              <w:t>2</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4.试样厚度：&lt;3 mm（更厚需加附件）</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5.试样数量：1件</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6.测试模式：数据独立</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7.温控范围：5℃～95℃</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8.控温精度：±0.1℃</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9.湿控范围：相对湿度0%RH，35%～95%RH ,100%RH（自动控制）</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10.湿控精度:±1%RH</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11.载气:99.999%高纯氮气（验收测试供应商自备）</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12.软件可选配数据可溯源性，可实现多级权限管理、审计追踪、电子签名等功能。</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zh-CN"/>
              </w:rPr>
            </w:pPr>
          </w:p>
        </w:tc>
      </w:tr>
      <w:tr>
        <w:tblPrEx>
          <w:tblCellMar>
            <w:top w:w="0" w:type="dxa"/>
            <w:left w:w="0" w:type="dxa"/>
            <w:bottom w:w="0" w:type="dxa"/>
            <w:right w:w="0" w:type="dxa"/>
          </w:tblCellMar>
        </w:tblPrEx>
        <w:trPr>
          <w:trHeight w:val="567"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6</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超声波细胞粉碎机</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宁波新芝/JY99-IIDN；上海测博/JY99-IIDN；沪析/JY92-IIDN</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一、设备功能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1.采用中央微机集中控制；</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7寸TFT触摸屏显示；</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3.超声波功率步进以1%连续精细可调；</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4.具有脉冲和连续工作并带有测试功能；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5.超声时间、间隙时间、总时间可精确到0.1秒；</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6.具有过载和时间报警功能；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7.配备智能升降隔音箱；</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8.隔音箱装置采用钣金、喷塑、ABS材质，模具化设计；</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9.TC4换能器，钛合金变幅杆；</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二、技术参数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1.频率: 19.5-20.5 KHz</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2.显示方式:≥ 7 英寸TFT触摸屏</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3.功率:≥ 1800 W（1%-100%）</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4.随机变幅杆:≥ 25 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5.可选配变幅杆:20,28 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6.碎容量: 50-1200 ml</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7.占空比: 0.1-99.9 %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8.温度报警: 0-99.9℃，有（防止样品过热）</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9.报警: 时间，过载，温度</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10.电源: 220/110V  50Hz/60Hz。</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zh-CN"/>
              </w:rPr>
            </w:pPr>
          </w:p>
        </w:tc>
      </w:tr>
      <w:tr>
        <w:tblPrEx>
          <w:tblCellMar>
            <w:top w:w="0" w:type="dxa"/>
            <w:left w:w="0" w:type="dxa"/>
            <w:bottom w:w="0" w:type="dxa"/>
            <w:right w:w="0" w:type="dxa"/>
          </w:tblCellMar>
        </w:tblPrEx>
        <w:trPr>
          <w:trHeight w:val="3925"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7</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超声波清洗器</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昆山/KQ5200E；小美/XM-5200UGF；谱振/KQ5200E</w:t>
            </w:r>
          </w:p>
          <w:p>
            <w:pPr>
              <w:rPr>
                <w:rFonts w:ascii="宋体" w:hAnsi="宋体" w:eastAsia="宋体" w:cs="宋体"/>
                <w:color w:val="auto"/>
                <w:kern w:val="2"/>
                <w:sz w:val="18"/>
                <w:szCs w:val="18"/>
                <w:highlight w:val="none"/>
                <w:lang w:val="en-US" w:eastAsia="zh-CN" w:bidi="ar-SA"/>
              </w:rPr>
            </w:pP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一、技术参数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1.容量：≥10L</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2.超声频率：40kHz，60kHz,80kHz均可调</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3.超声功率：≥200w</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4.加热功率：≥400W</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5.温度设定范围：室温-100℃</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6.工作时间可调：1-60min/常开</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7、电源：AC220V/50Hz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8、外壳与内胆材质：</w:t>
            </w:r>
            <w:r>
              <w:rPr>
                <w:rFonts w:hint="eastAsia" w:ascii="宋体" w:hAnsi="宋体" w:eastAsia="宋体" w:cs="宋体"/>
                <w:bCs/>
                <w:color w:val="auto"/>
                <w:kern w:val="0"/>
                <w:sz w:val="18"/>
                <w:szCs w:val="18"/>
                <w:highlight w:val="none"/>
                <w:lang w:val="en-US" w:eastAsia="zh-CN" w:bidi="ar-SA"/>
              </w:rPr>
              <w:t>均为304优质不锈钢。</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二、其他配置：降音盖、不锈钢网架、不锈钢托架、手控进排水。</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zh-CN"/>
              </w:rPr>
            </w:pPr>
          </w:p>
        </w:tc>
      </w:tr>
      <w:tr>
        <w:tblPrEx>
          <w:tblCellMar>
            <w:top w:w="0" w:type="dxa"/>
            <w:left w:w="0" w:type="dxa"/>
            <w:bottom w:w="0" w:type="dxa"/>
            <w:right w:w="0" w:type="dxa"/>
          </w:tblCellMar>
        </w:tblPrEx>
        <w:trPr>
          <w:trHeight w:val="8340"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8</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液氮罐</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中科都菱/YDS-6,亚西/YDS-6;美的/YDD-6</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一、技术参数</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1.几何容积：≥6.7L。</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2.口径：≥50 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3.外径：≥284mm。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4.高度：≥504mm。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5.空重：≥4.7kg。</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6.静态液氮日蒸发量：≤0.08Kg。</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7.静态液氮保存期：≥65天。</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8.标配：提桶数量：≥6个。</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9.提桶直径：≥38mm。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10.提桶高度：≥120mm。</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11.细管容量（0.5ml）：≥792个。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12.细管容量（0.25ml）：≥1788个。</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13.标配：锁盖，方便加锁保护样本安全。</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14.标配：人造 革保护皮套。</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15.真空绝热性能：绝热性能优越，具备极高的温度均匀性。</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16.材质及结构：高强度螺纹铝合金，轻型罐体，铝合金外表面处理及颜色，采用表面附着力优异的喷塑工艺。</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17.配置：液氮罐1个、提桶数量6个、锁盖数量1个、保护套数量1个。</w:t>
            </w:r>
          </w:p>
          <w:p>
            <w:pPr>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18.保修期：整机保修一年，真空层保修五年。</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zh-CN"/>
              </w:rPr>
            </w:pPr>
          </w:p>
        </w:tc>
      </w:tr>
      <w:tr>
        <w:tblPrEx>
          <w:tblCellMar>
            <w:top w:w="0" w:type="dxa"/>
            <w:left w:w="0" w:type="dxa"/>
            <w:bottom w:w="0" w:type="dxa"/>
            <w:right w:w="0" w:type="dxa"/>
          </w:tblCellMar>
        </w:tblPrEx>
        <w:trPr>
          <w:trHeight w:val="567"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9</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傅立叶红外光谱仪</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港东科技/FTIR-850;蓝莫德/FTIR-7600;天光/ftir-1900</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1.光谱范围：7800-350cm</w:t>
            </w:r>
            <w:r>
              <w:rPr>
                <w:rFonts w:hint="eastAsia" w:ascii="宋体" w:hAnsi="宋体" w:eastAsia="宋体" w:cs="宋体"/>
                <w:color w:val="auto"/>
                <w:kern w:val="2"/>
                <w:sz w:val="18"/>
                <w:szCs w:val="18"/>
                <w:highlight w:val="none"/>
                <w:vertAlign w:val="superscript"/>
                <w:lang w:val="en-US" w:eastAsia="zh-CN" w:bidi="ar-SA"/>
              </w:rPr>
              <w:t>-1</w:t>
            </w:r>
            <w:r>
              <w:rPr>
                <w:rFonts w:hint="eastAsia"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2.干涉仪：迈克尔逊干涉仪；</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3.分辨率：≤0.45cm</w:t>
            </w:r>
            <w:r>
              <w:rPr>
                <w:rFonts w:hint="eastAsia" w:ascii="宋体" w:hAnsi="宋体" w:eastAsia="宋体" w:cs="宋体"/>
                <w:color w:val="auto"/>
                <w:kern w:val="2"/>
                <w:sz w:val="18"/>
                <w:szCs w:val="18"/>
                <w:highlight w:val="none"/>
                <w:vertAlign w:val="superscript"/>
                <w:lang w:val="en-US" w:eastAsia="zh-CN" w:bidi="ar-SA"/>
              </w:rPr>
              <w:t>-1</w:t>
            </w:r>
            <w:r>
              <w:rPr>
                <w:rFonts w:hint="eastAsia"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 xml:space="preserve">4. 检测器：高灵敏度DLATGS检测器；       </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5.光　源：使用耐高温的陶瓷氧化体作为保温材料，耐温大于1600摄氏度，用光阑形成半封闭保温仓保证较长的使用寿命；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6.波数精度：</w:t>
            </w:r>
            <w:r>
              <w:rPr>
                <w:rFonts w:hint="eastAsia" w:ascii="Arial" w:hAnsi="Arial" w:eastAsia="宋体" w:cs="Arial"/>
                <w:color w:val="auto"/>
                <w:kern w:val="2"/>
                <w:sz w:val="18"/>
                <w:szCs w:val="18"/>
                <w:highlight w:val="none"/>
                <w:lang w:val="en-US" w:eastAsia="zh-CN" w:bidi="ar-SA"/>
              </w:rPr>
              <w:t>≤</w:t>
            </w:r>
            <w:r>
              <w:rPr>
                <w:rFonts w:hint="eastAsia" w:ascii="宋体" w:hAnsi="宋体" w:eastAsia="宋体" w:cs="宋体"/>
                <w:color w:val="auto"/>
                <w:kern w:val="2"/>
                <w:sz w:val="18"/>
                <w:szCs w:val="18"/>
                <w:highlight w:val="none"/>
                <w:lang w:val="en-US" w:eastAsia="zh-CN" w:bidi="ar-SA"/>
              </w:rPr>
              <w:t>0.01cm</w:t>
            </w:r>
            <w:r>
              <w:rPr>
                <w:rFonts w:hint="eastAsia" w:ascii="宋体" w:hAnsi="宋体" w:eastAsia="宋体" w:cs="宋体"/>
                <w:color w:val="auto"/>
                <w:kern w:val="2"/>
                <w:sz w:val="18"/>
                <w:szCs w:val="18"/>
                <w:highlight w:val="none"/>
                <w:vertAlign w:val="superscript"/>
                <w:lang w:val="en-US" w:eastAsia="zh-CN" w:bidi="ar-SA"/>
              </w:rPr>
              <w:t>-1</w:t>
            </w:r>
            <w:r>
              <w:rPr>
                <w:rFonts w:hint="eastAsia"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7.线性度：</w:t>
            </w:r>
            <w:r>
              <w:rPr>
                <w:rStyle w:val="35"/>
                <w:rFonts w:hint="eastAsia" w:ascii="宋体" w:hAnsi="宋体" w:cs="宋体"/>
                <w:color w:val="auto"/>
                <w:kern w:val="0"/>
                <w:sz w:val="18"/>
                <w:szCs w:val="18"/>
                <w:highlight w:val="none"/>
              </w:rPr>
              <w:t>&lt;</w:t>
            </w:r>
            <w:r>
              <w:rPr>
                <w:rFonts w:hint="eastAsia" w:ascii="宋体" w:hAnsi="宋体" w:eastAsia="宋体" w:cs="宋体"/>
                <w:color w:val="auto"/>
                <w:kern w:val="2"/>
                <w:sz w:val="18"/>
                <w:szCs w:val="18"/>
                <w:highlight w:val="none"/>
                <w:lang w:val="en-US" w:eastAsia="zh-CN" w:bidi="ar-SA"/>
              </w:rPr>
              <w:t>0.1%T；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8.信噪比：优于20000:1</w:t>
            </w:r>
            <w:r>
              <w:rPr>
                <w:rFonts w:hint="eastAsia" w:ascii="宋体" w:hAnsi="宋体" w:eastAsia="宋体" w:cs="宋体"/>
                <w:bCs/>
                <w:color w:val="auto"/>
                <w:kern w:val="2"/>
                <w:sz w:val="18"/>
                <w:szCs w:val="18"/>
                <w:highlight w:val="none"/>
                <w:lang w:val="en-US" w:eastAsia="zh-CN" w:bidi="ar-SA"/>
              </w:rPr>
              <w:t>（1分钟扫描，4cm</w:t>
            </w:r>
            <w:r>
              <w:rPr>
                <w:rFonts w:hint="eastAsia" w:ascii="宋体" w:hAnsi="宋体" w:eastAsia="宋体" w:cs="宋体"/>
                <w:bCs/>
                <w:color w:val="auto"/>
                <w:kern w:val="2"/>
                <w:sz w:val="18"/>
                <w:szCs w:val="18"/>
                <w:highlight w:val="none"/>
                <w:vertAlign w:val="superscript"/>
                <w:lang w:val="en-US" w:eastAsia="zh-CN" w:bidi="ar-SA"/>
              </w:rPr>
              <w:t>-1</w:t>
            </w:r>
            <w:r>
              <w:rPr>
                <w:rFonts w:hint="eastAsia" w:ascii="宋体" w:hAnsi="宋体" w:eastAsia="宋体" w:cs="宋体"/>
                <w:bCs/>
                <w:color w:val="auto"/>
                <w:kern w:val="2"/>
                <w:sz w:val="18"/>
                <w:szCs w:val="18"/>
                <w:highlight w:val="none"/>
                <w:lang w:val="en-US" w:eastAsia="zh-CN" w:bidi="ar-SA"/>
              </w:rPr>
              <w:t>分辨率）</w:t>
            </w:r>
            <w:r>
              <w:rPr>
                <w:rFonts w:hint="eastAsia"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9.扫描速度：微机控制和选择3档或以上的扫描速度；</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10.数据采集：He—Ne激光；</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11.分束器：多层镀Ge防潮型KBr分束器；</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12.检测器采用永久防潮的KRS-5光学窗片；</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13.样品室光学窗片采用KBr光学窗片，既保证长期可靠的防潮性能，同时也保证相对高的光通量；</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14.可对固体、液体、气体等样品进行定性分析</w:t>
            </w:r>
            <w:r>
              <w:rPr>
                <w:rFonts w:hint="eastAsia" w:ascii="宋体" w:hAnsi="宋体" w:eastAsia="宋体" w:cs="宋体"/>
                <w:b/>
                <w:bCs/>
                <w:color w:val="auto"/>
                <w:kern w:val="2"/>
                <w:sz w:val="18"/>
                <w:szCs w:val="18"/>
                <w:highlight w:val="none"/>
                <w:lang w:val="en-US" w:eastAsia="zh-CN" w:bidi="ar-SA"/>
              </w:rPr>
              <w:t>（验收时通过扫描标准聚苯乙烯插板得出吸收峰位置验收）</w:t>
            </w:r>
            <w:r>
              <w:rPr>
                <w:rFonts w:hint="eastAsia" w:ascii="宋体" w:hAnsi="宋体" w:eastAsia="宋体" w:cs="宋体"/>
                <w:color w:val="auto"/>
                <w:kern w:val="2"/>
                <w:sz w:val="18"/>
                <w:szCs w:val="18"/>
                <w:highlight w:val="none"/>
                <w:lang w:val="en-US" w:eastAsia="zh-CN" w:bidi="ar-SA"/>
              </w:rPr>
              <w:t>；</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15.采用动镜动态准直技术，数字化连续动态调整，每秒130000次，保证瞬时与长时间检测的超高稳定性；或采用角镜型迈克尔逊干涉仪，无需被动跟踪调整即可实现光路永久准道。</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16.24位A/D转换器，500kHz转换速度，实时数据准确可靠；</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17.光阑可进行两档切换，实现更高分辨率；</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18"/>
                <w:szCs w:val="18"/>
                <w:highlight w:val="none"/>
                <w:lang w:val="en-US" w:eastAsia="zh-CN" w:bidi="ar-SA"/>
              </w:rPr>
              <w:t>18.</w:t>
            </w:r>
            <w:r>
              <w:rPr>
                <w:rFonts w:hint="eastAsia" w:ascii="宋体" w:hAnsi="宋体" w:eastAsia="宋体" w:cs="宋体"/>
                <w:color w:val="auto"/>
                <w:kern w:val="2"/>
                <w:sz w:val="18"/>
                <w:szCs w:val="18"/>
                <w:highlight w:val="none"/>
                <w:lang w:val="en-US" w:eastAsia="zh-CN" w:bidi="ar-SA"/>
              </w:rPr>
              <w:t>配备后续可升级增加搭配原位高温高压附件、EHJ电加热池附加、固定光程气体池（2.5m-20m）、pearl珍珠透射池、红外光纤附件、镜面反射附件，原位漫反射附件、红外显微镜（透射/反射/金刚石ATR 三种模式）、半导体晶圆测试附件、单次(多次）ATR反射附件，控温ATR附件（高温300度）、平行光附件以及常规压片透射附加等多样化应用检测需求，真正满足且实现一机多用的功能；</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19.一体成型底座，一次性成型主要部件，针孔定位，高稳定光学系统；</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20.仪器采用全封闭设计即设备外壳与仪器内部封闭处理，光源模块，探测器模块，分束器模块均单独密封，有效隔绝湿气；大容量干燥剂盒，有效降低干燥剂更换频率；</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21.操作软件：64/128位软件，与 windows兼容，中文对谱图进行标注，数据处理功能（标峰，峰面积积分，基线校准等操作），谱图检索功能，自我诊断功能，谱图匹配功能，标准文件格式，基础红外解析功能，QC比较功能，按点平滑功能，y轴归一化功能，谱图组保存功能. 随机提供15万张红外标准谱图；</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22.配套温湿度实时在线监测模块，实时提示操作者红外光谱仪运行环境温度及湿度实时状态及相应预防处理措施，有效保护设备核心光路抗潮稳定运行状态。</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23.配置：红外光谱仪主机1台、交流电源适配器和电缆1套、USB数据线1根、标准校验片1片、变色硅胶（干燥剂）一袋、快速操作指南1份、应用软件1套、配套工具1套、粉末压片机1台。（固体包包含压片模具1套、溴化钾粉末50克、玛瑙研钵1套、红外烤箱1台，检测药品固体粉末、原料辅料）、溴化钾可拆液体池1套。</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套</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val="en-US" w:eastAsia="zh-CN" w:bidi="zh-CN"/>
              </w:rPr>
            </w:pPr>
          </w:p>
        </w:tc>
      </w:tr>
      <w:tr>
        <w:tblPrEx>
          <w:tblCellMar>
            <w:top w:w="0" w:type="dxa"/>
            <w:left w:w="0" w:type="dxa"/>
            <w:bottom w:w="0" w:type="dxa"/>
            <w:right w:w="0" w:type="dxa"/>
          </w:tblCellMar>
        </w:tblPrEx>
        <w:trPr>
          <w:trHeight w:val="2886" w:hRule="atLeast"/>
          <w:jc w:val="center"/>
        </w:trPr>
        <w:tc>
          <w:tcPr>
            <w:tcW w:w="299" w:type="pct"/>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widowControl/>
              <w:ind w:left="420" w:hanging="420" w:firstLineChars="0"/>
              <w:jc w:val="center"/>
              <w:rPr>
                <w:rFonts w:hint="default" w:ascii="宋体" w:hAnsi="宋体" w:eastAsia="宋体" w:cs="宋体"/>
                <w:color w:val="auto"/>
                <w:kern w:val="2"/>
                <w:sz w:val="18"/>
                <w:szCs w:val="18"/>
                <w:highlight w:val="none"/>
                <w:lang w:val="en-US" w:eastAsia="zh-CN" w:bidi="zh-CN"/>
              </w:rPr>
            </w:pPr>
            <w:r>
              <w:rPr>
                <w:rFonts w:hint="eastAsia" w:ascii="宋体" w:hAnsi="宋体" w:eastAsia="宋体" w:cs="宋体"/>
                <w:color w:val="auto"/>
                <w:kern w:val="2"/>
                <w:sz w:val="21"/>
                <w:szCs w:val="18"/>
                <w:highlight w:val="none"/>
                <w:lang w:val="en-US" w:eastAsia="zh-CN" w:bidi="zh-CN"/>
              </w:rPr>
              <w:t>10</w:t>
            </w:r>
          </w:p>
        </w:tc>
        <w:tc>
          <w:tcPr>
            <w:tcW w:w="361"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制冰机</w:t>
            </w:r>
          </w:p>
        </w:tc>
        <w:tc>
          <w:tcPr>
            <w:tcW w:w="415" w:type="pct"/>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widowControl/>
              <w:jc w:val="left"/>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麦艾仕/IMS-40;雪科/IMS-40;雪花/IMS-40</w:t>
            </w:r>
          </w:p>
        </w:tc>
        <w:tc>
          <w:tcPr>
            <w:tcW w:w="2124" w:type="pct"/>
            <w:gridSpan w:val="2"/>
            <w:tcBorders>
              <w:top w:val="single" w:color="auto" w:sz="4" w:space="0"/>
              <w:left w:val="nil"/>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1.制冰量：≥40kg/24h</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2.储冰量：≥15kg</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3.冷凝方式：风冷</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4.耗水量：≤1.6L/H</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5.压缩机/制冷剂：无氟/R134a</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6.箱体外壳：304不锈钢材质</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7.功率：≥280w</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8.冰 型：1-10mm不规则的细小颗粒状的雪花碎冰。</w:t>
            </w:r>
          </w:p>
        </w:tc>
        <w:tc>
          <w:tcPr>
            <w:tcW w:w="298"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台</w:t>
            </w:r>
          </w:p>
        </w:tc>
        <w:tc>
          <w:tcPr>
            <w:tcW w:w="30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w:t>
            </w:r>
          </w:p>
        </w:tc>
        <w:tc>
          <w:tcPr>
            <w:tcW w:w="276"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35"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2"/>
                <w:sz w:val="18"/>
                <w:szCs w:val="18"/>
                <w:highlight w:val="none"/>
                <w:lang w:val="en-US" w:eastAsia="zh-CN" w:bidi="ar-SA"/>
              </w:rPr>
            </w:pPr>
          </w:p>
        </w:tc>
        <w:tc>
          <w:tcPr>
            <w:tcW w:w="481" w:type="pct"/>
            <w:tcBorders>
              <w:top w:val="single" w:color="auto" w:sz="4" w:space="0"/>
              <w:left w:val="nil"/>
              <w:bottom w:val="single" w:color="auto" w:sz="4" w:space="0"/>
              <w:right w:val="single" w:color="auto" w:sz="4" w:space="0"/>
            </w:tcBorders>
            <w:vAlign w:val="center"/>
          </w:tcPr>
          <w:p>
            <w:pPr>
              <w:jc w:val="center"/>
              <w:rPr>
                <w:rFonts w:ascii="宋体" w:hAnsi="宋体" w:eastAsia="宋体" w:cs="宋体"/>
                <w:color w:val="auto"/>
                <w:kern w:val="0"/>
                <w:sz w:val="18"/>
                <w:szCs w:val="18"/>
                <w:highlight w:val="none"/>
                <w:lang w:val="en-US" w:eastAsia="zh-CN" w:bidi="zh-CN"/>
              </w:rPr>
            </w:pPr>
          </w:p>
        </w:tc>
      </w:tr>
      <w:tr>
        <w:tblPrEx>
          <w:tblCellMar>
            <w:top w:w="0" w:type="dxa"/>
            <w:left w:w="0" w:type="dxa"/>
            <w:bottom w:w="0" w:type="dxa"/>
            <w:right w:w="0" w:type="dxa"/>
          </w:tblCellMar>
        </w:tblPrEx>
        <w:trPr>
          <w:trHeight w:val="567" w:hRule="atLeast"/>
          <w:jc w:val="center"/>
        </w:trPr>
        <w:tc>
          <w:tcPr>
            <w:tcW w:w="3201" w:type="pct"/>
            <w:gridSpan w:val="5"/>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zh-CN"/>
              </w:rPr>
            </w:pPr>
            <w:r>
              <w:rPr>
                <w:rFonts w:hint="eastAsia" w:ascii="宋体" w:hAnsi="宋体" w:eastAsia="宋体" w:cs="宋体"/>
                <w:b/>
                <w:color w:val="auto"/>
                <w:kern w:val="0"/>
                <w:sz w:val="18"/>
                <w:szCs w:val="18"/>
                <w:highlight w:val="none"/>
                <w:lang w:val="en-US" w:eastAsia="zh-CN" w:bidi="zh-CN"/>
              </w:rPr>
              <w:t>合计金额：（大写）人民币</w:t>
            </w:r>
            <w:r>
              <w:rPr>
                <w:rFonts w:hint="eastAsia" w:ascii="宋体" w:hAnsi="宋体" w:eastAsia="宋体" w:cs="宋体"/>
                <w:b/>
                <w:color w:val="auto"/>
                <w:kern w:val="0"/>
                <w:sz w:val="18"/>
                <w:szCs w:val="18"/>
                <w:highlight w:val="none"/>
                <w:u w:val="single"/>
                <w:lang w:val="en-US" w:eastAsia="zh-CN" w:bidi="zh-CN"/>
              </w:rPr>
              <w:t xml:space="preserve">           </w:t>
            </w:r>
            <w:r>
              <w:rPr>
                <w:rFonts w:hint="eastAsia" w:ascii="宋体" w:hAnsi="宋体" w:eastAsia="宋体" w:cs="宋体"/>
                <w:b/>
                <w:color w:val="auto"/>
                <w:kern w:val="0"/>
                <w:sz w:val="18"/>
                <w:szCs w:val="18"/>
                <w:highlight w:val="none"/>
                <w:lang w:val="en-US" w:eastAsia="zh-CN" w:bidi="zh-CN"/>
              </w:rPr>
              <w:t>元整</w:t>
            </w:r>
          </w:p>
        </w:tc>
        <w:tc>
          <w:tcPr>
            <w:tcW w:w="1798" w:type="pct"/>
            <w:gridSpan w:val="5"/>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kern w:val="2"/>
                <w:sz w:val="18"/>
                <w:szCs w:val="18"/>
                <w:highlight w:val="none"/>
                <w:lang w:val="en-US" w:eastAsia="zh-CN" w:bidi="zh-CN"/>
              </w:rPr>
            </w:pPr>
            <w:r>
              <w:rPr>
                <w:rFonts w:hint="eastAsia" w:ascii="宋体" w:hAnsi="宋体" w:eastAsia="宋体" w:cs="宋体"/>
                <w:b/>
                <w:color w:val="auto"/>
                <w:kern w:val="0"/>
                <w:sz w:val="18"/>
                <w:szCs w:val="18"/>
                <w:highlight w:val="none"/>
                <w:lang w:val="en-US" w:eastAsia="zh-CN" w:bidi="zh-CN"/>
              </w:rPr>
              <w:t>（小写）￥</w:t>
            </w:r>
            <w:r>
              <w:rPr>
                <w:rFonts w:hint="eastAsia" w:ascii="宋体" w:hAnsi="宋体" w:eastAsia="宋体" w:cs="宋体"/>
                <w:b/>
                <w:color w:val="auto"/>
                <w:kern w:val="0"/>
                <w:sz w:val="18"/>
                <w:szCs w:val="18"/>
                <w:highlight w:val="none"/>
                <w:u w:val="single"/>
                <w:lang w:val="en-US" w:eastAsia="zh-CN" w:bidi="zh-CN"/>
              </w:rPr>
              <w:t xml:space="preserve">        </w:t>
            </w:r>
            <w:r>
              <w:rPr>
                <w:rFonts w:hint="eastAsia" w:ascii="宋体" w:hAnsi="宋体" w:eastAsia="宋体" w:cs="宋体"/>
                <w:b/>
                <w:color w:val="auto"/>
                <w:kern w:val="0"/>
                <w:sz w:val="18"/>
                <w:szCs w:val="18"/>
                <w:highlight w:val="none"/>
                <w:u w:val="none"/>
                <w:lang w:val="en-US" w:eastAsia="zh-CN" w:bidi="zh-CN"/>
              </w:rPr>
              <w:t>元</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b/>
                <w:bCs/>
                <w:color w:val="auto"/>
                <w:kern w:val="2"/>
                <w:sz w:val="18"/>
                <w:szCs w:val="18"/>
                <w:highlight w:val="none"/>
                <w:lang w:val="en-US" w:eastAsia="zh-CN" w:bidi="ar-SA"/>
              </w:rPr>
              <w:t>二、商务要求</w:t>
            </w:r>
          </w:p>
        </w:tc>
      </w:tr>
      <w:tr>
        <w:tblPrEx>
          <w:tblCellMar>
            <w:top w:w="0" w:type="dxa"/>
            <w:left w:w="0" w:type="dxa"/>
            <w:bottom w:w="0" w:type="dxa"/>
            <w:right w:w="0" w:type="dxa"/>
          </w:tblCellMar>
        </w:tblPrEx>
        <w:trPr>
          <w:trHeight w:val="567" w:hRule="atLeast"/>
          <w:jc w:val="center"/>
        </w:trPr>
        <w:tc>
          <w:tcPr>
            <w:tcW w:w="661"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质保期</w:t>
            </w:r>
          </w:p>
        </w:tc>
        <w:tc>
          <w:tcPr>
            <w:tcW w:w="4338"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b/>
                <w:color w:val="auto"/>
                <w:kern w:val="2"/>
                <w:sz w:val="18"/>
                <w:szCs w:val="18"/>
                <w:highlight w:val="none"/>
                <w:lang w:val="en-US" w:eastAsia="zh-CN" w:bidi="ar-SA"/>
              </w:rPr>
              <w:t>1、质保期</w:t>
            </w:r>
            <w:r>
              <w:rPr>
                <w:rFonts w:hint="eastAsia" w:ascii="宋体" w:hAnsi="宋体" w:eastAsia="宋体" w:cs="宋体"/>
                <w:b/>
                <w:color w:val="auto"/>
                <w:kern w:val="2"/>
                <w:sz w:val="18"/>
                <w:szCs w:val="18"/>
                <w:highlight w:val="none"/>
                <w:u w:val="single"/>
                <w:lang w:val="en-US" w:eastAsia="zh-CN" w:bidi="ar-SA"/>
              </w:rPr>
              <w:t xml:space="preserve"> 2</w:t>
            </w:r>
            <w:r>
              <w:rPr>
                <w:rFonts w:hint="eastAsia" w:ascii="宋体" w:hAnsi="宋体" w:eastAsia="宋体" w:cs="宋体"/>
                <w:b/>
                <w:color w:val="auto"/>
                <w:kern w:val="2"/>
                <w:sz w:val="18"/>
                <w:szCs w:val="18"/>
                <w:highlight w:val="none"/>
                <w:lang w:val="en-US" w:eastAsia="zh-CN" w:bidi="ar-SA"/>
              </w:rPr>
              <w:t>年。</w:t>
            </w:r>
            <w:r>
              <w:rPr>
                <w:rFonts w:hint="eastAsia" w:ascii="宋体" w:hAnsi="宋体" w:eastAsia="宋体" w:cs="宋体"/>
                <w:color w:val="auto"/>
                <w:kern w:val="2"/>
                <w:sz w:val="18"/>
                <w:szCs w:val="18"/>
                <w:highlight w:val="none"/>
                <w:lang w:val="en-US" w:eastAsia="zh-CN" w:bidi="ar-SA"/>
              </w:rPr>
              <w:t>（分项货物服务要求中有特别注明的，按特别注明的执行）</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2、所有货物服务按国家“三包”有关规定执行“三包”。质保期自交付验收合格之日起计算，质保期内提供上门维修、更换和软件升级服务；质保期结束后，提供终身维护，并优惠提供相关零配件。</w:t>
            </w:r>
          </w:p>
        </w:tc>
      </w:tr>
      <w:tr>
        <w:tblPrEx>
          <w:tblCellMar>
            <w:top w:w="0" w:type="dxa"/>
            <w:left w:w="0" w:type="dxa"/>
            <w:bottom w:w="0" w:type="dxa"/>
            <w:right w:w="0" w:type="dxa"/>
          </w:tblCellMar>
        </w:tblPrEx>
        <w:trPr>
          <w:trHeight w:val="567" w:hRule="atLeast"/>
          <w:jc w:val="center"/>
        </w:trPr>
        <w:tc>
          <w:tcPr>
            <w:tcW w:w="661"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产品及售后服务要求</w:t>
            </w:r>
          </w:p>
        </w:tc>
        <w:tc>
          <w:tcPr>
            <w:tcW w:w="4338"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1、成交人交付的所有</w:t>
            </w:r>
            <w:r>
              <w:rPr>
                <w:rFonts w:hint="eastAsia" w:ascii="宋体" w:hAnsi="宋体" w:eastAsia="宋体" w:cs="宋体"/>
                <w:b/>
                <w:color w:val="auto"/>
                <w:kern w:val="2"/>
                <w:sz w:val="18"/>
                <w:szCs w:val="18"/>
                <w:highlight w:val="none"/>
                <w:lang w:val="en-US" w:eastAsia="zh-CN" w:bidi="ar-SA"/>
              </w:rPr>
              <w:t>设备</w:t>
            </w:r>
            <w:r>
              <w:rPr>
                <w:rFonts w:hint="eastAsia" w:ascii="宋体" w:hAnsi="宋体" w:eastAsia="宋体" w:cs="宋体"/>
                <w:color w:val="auto"/>
                <w:kern w:val="2"/>
                <w:sz w:val="18"/>
                <w:szCs w:val="18"/>
                <w:highlight w:val="none"/>
                <w:lang w:val="en-US" w:eastAsia="zh-CN" w:bidi="ar-SA"/>
              </w:rPr>
              <w:t>必须是签订合同之日</w:t>
            </w:r>
            <w:r>
              <w:rPr>
                <w:rFonts w:hint="eastAsia" w:ascii="宋体" w:hAnsi="宋体" w:eastAsia="宋体" w:cs="宋体"/>
                <w:b/>
                <w:color w:val="auto"/>
                <w:kern w:val="2"/>
                <w:sz w:val="18"/>
                <w:szCs w:val="18"/>
                <w:highlight w:val="none"/>
                <w:lang w:val="en-US" w:eastAsia="zh-CN" w:bidi="ar-SA"/>
              </w:rPr>
              <w:t>前</w:t>
            </w:r>
            <w:r>
              <w:rPr>
                <w:rFonts w:hint="eastAsia" w:ascii="宋体" w:hAnsi="宋体" w:eastAsia="宋体" w:cs="宋体"/>
                <w:b/>
                <w:color w:val="auto"/>
                <w:kern w:val="2"/>
                <w:sz w:val="18"/>
                <w:szCs w:val="18"/>
                <w:highlight w:val="none"/>
                <w:u w:val="single"/>
                <w:lang w:val="en-US" w:eastAsia="zh-CN" w:bidi="ar-SA"/>
              </w:rPr>
              <w:t xml:space="preserve"> 1 </w:t>
            </w:r>
            <w:r>
              <w:rPr>
                <w:rFonts w:hint="eastAsia" w:ascii="宋体" w:hAnsi="宋体" w:eastAsia="宋体" w:cs="宋体"/>
                <w:b/>
                <w:color w:val="auto"/>
                <w:kern w:val="2"/>
                <w:sz w:val="18"/>
                <w:szCs w:val="18"/>
                <w:highlight w:val="none"/>
                <w:lang w:val="en-US" w:eastAsia="zh-CN" w:bidi="ar-SA"/>
              </w:rPr>
              <w:t>年</w:t>
            </w:r>
            <w:r>
              <w:rPr>
                <w:rFonts w:hint="eastAsia" w:ascii="宋体" w:hAnsi="宋体" w:eastAsia="宋体" w:cs="宋体"/>
                <w:color w:val="auto"/>
                <w:kern w:val="2"/>
                <w:sz w:val="18"/>
                <w:szCs w:val="18"/>
                <w:highlight w:val="none"/>
                <w:lang w:val="en-US" w:eastAsia="zh-CN" w:bidi="ar-SA"/>
              </w:rPr>
              <w:t>内生产的产品。</w:t>
            </w:r>
          </w:p>
          <w:p>
            <w:pPr>
              <w:rPr>
                <w:rFonts w:ascii="宋体" w:hAnsi="宋体" w:eastAsia="宋体" w:cs="宋体"/>
                <w:b/>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2、送货至采购人指定地点，协助进行安装场地设计，完成安装和调试。所有安装应符合国家、行业相关标准及规范。</w:t>
            </w:r>
            <w:r>
              <w:rPr>
                <w:rFonts w:hint="eastAsia" w:ascii="宋体" w:hAnsi="宋体" w:eastAsia="宋体" w:cs="宋体"/>
                <w:b/>
                <w:color w:val="auto"/>
                <w:kern w:val="2"/>
                <w:sz w:val="18"/>
                <w:szCs w:val="18"/>
                <w:highlight w:val="none"/>
                <w:lang w:val="en-US" w:eastAsia="zh-CN" w:bidi="ar-SA"/>
              </w:rPr>
              <w:t>（所有货物仅接受现场交付，不接受邮递）</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3、为采购人提供产品操作、维修、日常养护等方面的培训，确保采购方使用人员能独立操作使用，培训人数、时间、地点等由采购人指定。</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4、故障响应时间：在使用过程中出现质量问题，成交人在接到采购人通知后1小时作出响应；如需到达现场解决的，在8小时内应到达现场。</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5、成交人须遵守校园出入规定，在供货、安装过程中确保相关人员安全。供货、安装过程中产生的残留物或垃圾，成交人需自行清理至校外。</w:t>
            </w:r>
          </w:p>
        </w:tc>
      </w:tr>
      <w:tr>
        <w:tblPrEx>
          <w:tblCellMar>
            <w:top w:w="0" w:type="dxa"/>
            <w:left w:w="0" w:type="dxa"/>
            <w:bottom w:w="0" w:type="dxa"/>
            <w:right w:w="0" w:type="dxa"/>
          </w:tblCellMar>
        </w:tblPrEx>
        <w:trPr>
          <w:trHeight w:val="777" w:hRule="atLeast"/>
          <w:jc w:val="center"/>
        </w:trPr>
        <w:tc>
          <w:tcPr>
            <w:tcW w:w="661"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交付时间、交付地点</w:t>
            </w:r>
          </w:p>
        </w:tc>
        <w:tc>
          <w:tcPr>
            <w:tcW w:w="4338"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1、交付时间：自签订合同之日起</w:t>
            </w:r>
            <w:r>
              <w:rPr>
                <w:rFonts w:hint="eastAsia" w:ascii="宋体" w:hAnsi="宋体" w:eastAsia="宋体" w:cs="宋体"/>
                <w:b/>
                <w:color w:val="auto"/>
                <w:kern w:val="2"/>
                <w:sz w:val="18"/>
                <w:szCs w:val="18"/>
                <w:highlight w:val="none"/>
                <w:u w:val="single"/>
                <w:lang w:val="en-US" w:eastAsia="zh-CN" w:bidi="ar-SA"/>
              </w:rPr>
              <w:t xml:space="preserve">30 </w:t>
            </w:r>
            <w:r>
              <w:rPr>
                <w:rFonts w:hint="eastAsia" w:ascii="宋体" w:hAnsi="宋体" w:eastAsia="宋体" w:cs="宋体"/>
                <w:b/>
                <w:color w:val="auto"/>
                <w:kern w:val="2"/>
                <w:sz w:val="18"/>
                <w:szCs w:val="18"/>
                <w:highlight w:val="none"/>
                <w:lang w:val="en-US" w:eastAsia="zh-CN" w:bidi="ar-SA"/>
              </w:rPr>
              <w:t>日历日</w:t>
            </w:r>
            <w:r>
              <w:rPr>
                <w:rFonts w:hint="eastAsia" w:ascii="宋体" w:hAnsi="宋体" w:eastAsia="宋体" w:cs="宋体"/>
                <w:color w:val="auto"/>
                <w:kern w:val="2"/>
                <w:sz w:val="18"/>
                <w:szCs w:val="18"/>
                <w:highlight w:val="none"/>
                <w:lang w:val="en-US" w:eastAsia="zh-CN" w:bidi="ar-SA"/>
              </w:rPr>
              <w:t>内全部交付完成并验收合格。</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2、交付地点：广西农业职业技术大学（南宁市大学东路176号）。</w:t>
            </w:r>
          </w:p>
        </w:tc>
      </w:tr>
      <w:tr>
        <w:tblPrEx>
          <w:tblCellMar>
            <w:top w:w="0" w:type="dxa"/>
            <w:left w:w="0" w:type="dxa"/>
            <w:bottom w:w="0" w:type="dxa"/>
            <w:right w:w="0" w:type="dxa"/>
          </w:tblCellMar>
        </w:tblPrEx>
        <w:trPr>
          <w:trHeight w:val="567" w:hRule="atLeast"/>
          <w:jc w:val="center"/>
        </w:trPr>
        <w:tc>
          <w:tcPr>
            <w:tcW w:w="661"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付款条件</w:t>
            </w:r>
          </w:p>
        </w:tc>
        <w:tc>
          <w:tcPr>
            <w:tcW w:w="4338"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1、成交人在要求的交付期内，可分批交付，也可一次性交付，但须先按每次交付并验收完成的金额开具发票给采购人，采购人在收到发票后30日历日内按发票面额付款。如成交人未按国家要求开具发票，或未按合同履约的，视为违约，采购人有权扣减履约保证金，或要求解除合同，并追究成交人法律责任。</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2、本项目收取履约保证金：□无    ☑有，人民币元。</w:t>
            </w:r>
          </w:p>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3、项目收取履约保证金的，成交人须在合同签订前向采购人账户转付成交金额2%的履约保证金，否则不予签订合同。履约保证金在采购内容全部交付验收完成之后（或服务期满后）无息退付。</w:t>
            </w:r>
          </w:p>
        </w:tc>
      </w:tr>
      <w:tr>
        <w:tblPrEx>
          <w:tblCellMar>
            <w:top w:w="0" w:type="dxa"/>
            <w:left w:w="0" w:type="dxa"/>
            <w:bottom w:w="0" w:type="dxa"/>
            <w:right w:w="0" w:type="dxa"/>
          </w:tblCellMar>
        </w:tblPrEx>
        <w:trPr>
          <w:trHeight w:val="567"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三、其他要求</w:t>
            </w:r>
          </w:p>
        </w:tc>
      </w:tr>
      <w:tr>
        <w:tblPrEx>
          <w:tblCellMar>
            <w:top w:w="0" w:type="dxa"/>
            <w:left w:w="0" w:type="dxa"/>
            <w:bottom w:w="0" w:type="dxa"/>
            <w:right w:w="0" w:type="dxa"/>
          </w:tblCellMar>
        </w:tblPrEx>
        <w:trPr>
          <w:trHeight w:val="567" w:hRule="atLeast"/>
          <w:jc w:val="center"/>
        </w:trPr>
        <w:tc>
          <w:tcPr>
            <w:tcW w:w="661" w:type="pct"/>
            <w:gridSpan w:val="2"/>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2"/>
                <w:sz w:val="18"/>
                <w:szCs w:val="18"/>
                <w:highlight w:val="none"/>
                <w:lang w:val="en-US" w:eastAsia="zh-CN" w:bidi="ar-SA"/>
              </w:rPr>
              <w:t>核心产品</w:t>
            </w:r>
          </w:p>
        </w:tc>
        <w:tc>
          <w:tcPr>
            <w:tcW w:w="4338" w:type="pct"/>
            <w:gridSpan w:val="8"/>
            <w:tcBorders>
              <w:top w:val="single" w:color="auto" w:sz="4" w:space="0"/>
              <w:left w:val="nil"/>
              <w:bottom w:val="single" w:color="auto" w:sz="4" w:space="0"/>
              <w:right w:val="single" w:color="auto" w:sz="4" w:space="0"/>
            </w:tcBorders>
            <w:tcMar>
              <w:top w:w="0" w:type="dxa"/>
              <w:left w:w="57" w:type="dxa"/>
              <w:bottom w:w="0" w:type="dxa"/>
              <w:right w:w="57" w:type="dxa"/>
            </w:tcMar>
            <w:vAlign w:val="center"/>
          </w:tcPr>
          <w:p>
            <w:pPr>
              <w:rPr>
                <w:rFonts w:ascii="宋体" w:hAnsi="宋体" w:eastAsia="宋体" w:cs="宋体"/>
                <w:color w:val="auto"/>
                <w:kern w:val="2"/>
                <w:sz w:val="18"/>
                <w:szCs w:val="18"/>
                <w:highlight w:val="none"/>
                <w:lang w:val="en-US" w:eastAsia="zh-CN" w:bidi="ar-SA"/>
              </w:rPr>
            </w:pPr>
            <w:r>
              <w:rPr>
                <w:rFonts w:hint="eastAsia" w:eastAsia="宋体" w:asciiTheme="minorHAnsi" w:hAnsiTheme="minorHAnsi" w:cstheme="minorBidi"/>
                <w:color w:val="auto"/>
                <w:kern w:val="2"/>
                <w:sz w:val="18"/>
                <w:szCs w:val="18"/>
                <w:highlight w:val="none"/>
                <w:lang w:val="en-US" w:eastAsia="zh-CN" w:bidi="ar-SA"/>
              </w:rPr>
              <w:t>本项目标段二，选择</w:t>
            </w:r>
            <w:r>
              <w:rPr>
                <w:rFonts w:hint="eastAsia" w:ascii="宋体" w:hAnsi="宋体" w:eastAsia="宋体" w:cs="宋体"/>
                <w:color w:val="auto"/>
                <w:kern w:val="2"/>
                <w:sz w:val="18"/>
                <w:szCs w:val="18"/>
                <w:highlight w:val="none"/>
                <w:lang w:val="en-US" w:eastAsia="zh-CN" w:bidi="ar-SA"/>
              </w:rPr>
              <w:t>第</w:t>
            </w:r>
            <w:r>
              <w:rPr>
                <w:rFonts w:hint="eastAsia" w:ascii="宋体" w:hAnsi="宋体" w:eastAsia="宋体" w:cs="宋体"/>
                <w:color w:val="auto"/>
                <w:kern w:val="2"/>
                <w:sz w:val="18"/>
                <w:szCs w:val="18"/>
                <w:highlight w:val="none"/>
                <w:u w:val="single"/>
                <w:lang w:val="en-US" w:eastAsia="zh-CN" w:bidi="ar-SA"/>
              </w:rPr>
              <w:t xml:space="preserve"> 32 </w:t>
            </w:r>
            <w:r>
              <w:rPr>
                <w:rFonts w:hint="eastAsia" w:ascii="宋体" w:hAnsi="宋体" w:eastAsia="宋体" w:cs="宋体"/>
                <w:color w:val="auto"/>
                <w:kern w:val="2"/>
                <w:sz w:val="18"/>
                <w:szCs w:val="18"/>
                <w:highlight w:val="none"/>
                <w:lang w:val="en-US" w:eastAsia="zh-CN" w:bidi="ar-SA"/>
              </w:rPr>
              <w:t>项“</w:t>
            </w:r>
            <w:r>
              <w:rPr>
                <w:rFonts w:hint="eastAsia" w:ascii="宋体" w:hAnsi="宋体" w:eastAsia="宋体" w:cs="宋体"/>
                <w:color w:val="auto"/>
                <w:kern w:val="0"/>
                <w:sz w:val="18"/>
                <w:szCs w:val="18"/>
                <w:highlight w:val="none"/>
                <w:u w:val="single"/>
                <w:lang w:val="en-US" w:eastAsia="zh-CN" w:bidi="ar-SA"/>
              </w:rPr>
              <w:t>傅立叶红外光谱仪</w:t>
            </w:r>
            <w:r>
              <w:rPr>
                <w:rFonts w:hint="eastAsia" w:ascii="宋体" w:hAnsi="宋体" w:eastAsia="宋体" w:cs="宋体"/>
                <w:color w:val="auto"/>
                <w:kern w:val="2"/>
                <w:sz w:val="18"/>
                <w:szCs w:val="18"/>
                <w:highlight w:val="none"/>
                <w:lang w:val="en-US" w:eastAsia="zh-CN" w:bidi="ar-SA"/>
              </w:rPr>
              <w:t>”作为核心产品。</w:t>
            </w:r>
          </w:p>
        </w:tc>
      </w:tr>
      <w:tr>
        <w:tblPrEx>
          <w:tblCellMar>
            <w:top w:w="0" w:type="dxa"/>
            <w:left w:w="0" w:type="dxa"/>
            <w:bottom w:w="0" w:type="dxa"/>
            <w:right w:w="0" w:type="dxa"/>
          </w:tblCellMar>
        </w:tblPrEx>
        <w:trPr>
          <w:trHeight w:val="2245" w:hRule="atLeast"/>
          <w:jc w:val="center"/>
        </w:trPr>
        <w:tc>
          <w:tcPr>
            <w:tcW w:w="5000" w:type="pct"/>
            <w:gridSpan w:val="10"/>
            <w:tcBorders>
              <w:top w:val="single" w:color="auto" w:sz="4" w:space="0"/>
              <w:left w:val="single" w:color="auto" w:sz="4" w:space="0"/>
              <w:bottom w:val="single" w:color="auto" w:sz="4" w:space="0"/>
              <w:right w:val="single" w:color="auto" w:sz="4" w:space="0"/>
            </w:tcBorders>
            <w:tcMar>
              <w:top w:w="13" w:type="dxa"/>
              <w:left w:w="57" w:type="dxa"/>
              <w:bottom w:w="0" w:type="dxa"/>
              <w:right w:w="57" w:type="dxa"/>
            </w:tcMar>
            <w:vAlign w:val="center"/>
          </w:tcPr>
          <w:p>
            <w:pPr>
              <w:snapToGrid w:val="0"/>
              <w:spacing w:line="360" w:lineRule="auto"/>
              <w:rPr>
                <w:rFonts w:hint="eastAsia" w:ascii="宋体" w:hAnsi="宋体" w:eastAsia="宋体" w:cs="宋体"/>
                <w:color w:val="auto"/>
                <w:kern w:val="0"/>
                <w:sz w:val="21"/>
                <w:szCs w:val="21"/>
                <w:highlight w:val="none"/>
                <w:lang w:val="zh-CN" w:eastAsia="zh-CN" w:bidi="ar-SA"/>
              </w:rPr>
            </w:pPr>
            <w:r>
              <w:rPr>
                <w:rFonts w:hint="eastAsia" w:ascii="宋体" w:hAnsi="宋体" w:eastAsia="宋体" w:cs="宋体"/>
                <w:color w:val="auto"/>
                <w:kern w:val="0"/>
                <w:sz w:val="21"/>
                <w:szCs w:val="21"/>
                <w:highlight w:val="none"/>
                <w:lang w:val="zh-CN" w:eastAsia="zh-CN" w:bidi="ar-SA"/>
              </w:rPr>
              <w:t>供应商名称（盖章）：</w:t>
            </w:r>
          </w:p>
          <w:p>
            <w:pPr>
              <w:snapToGrid w:val="0"/>
              <w:spacing w:line="360" w:lineRule="auto"/>
              <w:rPr>
                <w:rFonts w:hint="eastAsia" w:ascii="宋体" w:hAnsi="宋体" w:eastAsia="宋体" w:cs="宋体"/>
                <w:color w:val="auto"/>
                <w:kern w:val="0"/>
                <w:sz w:val="21"/>
                <w:szCs w:val="21"/>
                <w:highlight w:val="none"/>
                <w:lang w:val="zh-CN" w:eastAsia="zh-CN" w:bidi="ar-SA"/>
              </w:rPr>
            </w:pPr>
            <w:r>
              <w:rPr>
                <w:rFonts w:hint="eastAsia" w:ascii="宋体" w:hAnsi="宋体" w:eastAsia="宋体" w:cs="宋体"/>
                <w:color w:val="auto"/>
                <w:kern w:val="0"/>
                <w:sz w:val="21"/>
                <w:szCs w:val="21"/>
                <w:highlight w:val="none"/>
                <w:lang w:val="zh-CN" w:eastAsia="zh-CN" w:bidi="ar-SA"/>
              </w:rPr>
              <w:t>供应商地址：</w:t>
            </w:r>
          </w:p>
          <w:p>
            <w:pPr>
              <w:snapToGrid w:val="0"/>
              <w:spacing w:line="360" w:lineRule="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zh-CN" w:eastAsia="zh-CN" w:bidi="ar-SA"/>
              </w:rPr>
              <w:t>法定代表人或委托代理人（签名或盖章）：</w:t>
            </w:r>
            <w:r>
              <w:rPr>
                <w:rFonts w:hint="eastAsia" w:ascii="宋体" w:hAnsi="宋体" w:eastAsia="宋体" w:cs="宋体"/>
                <w:color w:val="auto"/>
                <w:kern w:val="0"/>
                <w:sz w:val="21"/>
                <w:szCs w:val="21"/>
                <w:highlight w:val="none"/>
                <w:lang w:val="en-US" w:eastAsia="zh-CN" w:bidi="ar-SA"/>
              </w:rPr>
              <w:t xml:space="preserve">                 </w:t>
            </w:r>
          </w:p>
          <w:p>
            <w:pPr>
              <w:snapToGrid w:val="0"/>
              <w:spacing w:line="360" w:lineRule="auto"/>
              <w:rPr>
                <w:rFonts w:hint="eastAsia" w:ascii="宋体" w:hAnsi="宋体" w:eastAsia="宋体" w:cs="宋体"/>
                <w:color w:val="auto"/>
                <w:kern w:val="0"/>
                <w:sz w:val="21"/>
                <w:szCs w:val="21"/>
                <w:highlight w:val="none"/>
                <w:lang w:val="zh-CN" w:eastAsia="zh-CN" w:bidi="ar-SA"/>
              </w:rPr>
            </w:pPr>
            <w:r>
              <w:rPr>
                <w:rFonts w:hint="eastAsia" w:ascii="宋体" w:hAnsi="宋体" w:eastAsia="宋体" w:cs="宋体"/>
                <w:color w:val="auto"/>
                <w:kern w:val="0"/>
                <w:sz w:val="21"/>
                <w:szCs w:val="21"/>
                <w:highlight w:val="none"/>
                <w:lang w:val="zh-CN" w:eastAsia="zh-CN" w:bidi="ar-SA"/>
              </w:rPr>
              <w:t>联系电话及电子邮箱：</w:t>
            </w:r>
          </w:p>
          <w:p>
            <w:pPr>
              <w:ind w:left="54"/>
              <w:rPr>
                <w:rFonts w:hint="eastAsia" w:ascii="宋体" w:hAnsi="宋体" w:eastAsia="宋体" w:cs="宋体"/>
                <w:color w:val="auto"/>
                <w:kern w:val="2"/>
                <w:sz w:val="18"/>
                <w:szCs w:val="18"/>
                <w:highlight w:val="none"/>
                <w:lang w:val="en-US" w:eastAsia="zh-CN" w:bidi="ar-SA"/>
              </w:rPr>
            </w:pPr>
            <w:r>
              <w:rPr>
                <w:rFonts w:hint="eastAsia" w:ascii="宋体" w:hAnsi="宋体" w:eastAsia="宋体" w:cs="宋体"/>
                <w:color w:val="auto"/>
                <w:kern w:val="0"/>
                <w:sz w:val="21"/>
                <w:szCs w:val="21"/>
                <w:highlight w:val="none"/>
                <w:lang w:val="zh-CN" w:eastAsia="zh-CN" w:bidi="ar-SA"/>
              </w:rPr>
              <w:t>日期</w:t>
            </w:r>
            <w:r>
              <w:rPr>
                <w:rFonts w:hint="eastAsia" w:ascii="宋体" w:hAnsi="宋体" w:eastAsia="宋体" w:cs="宋体"/>
                <w:color w:val="auto"/>
                <w:kern w:val="0"/>
                <w:sz w:val="21"/>
                <w:szCs w:val="21"/>
                <w:highlight w:val="none"/>
                <w:lang w:val="en-US" w:eastAsia="zh-CN" w:bidi="ar-SA"/>
              </w:rPr>
              <w:t xml:space="preserve">：  年  </w:t>
            </w:r>
            <w:r>
              <w:rPr>
                <w:rFonts w:hint="eastAsia" w:ascii="宋体" w:hAnsi="宋体" w:eastAsia="宋体" w:cs="宋体"/>
                <w:color w:val="auto"/>
                <w:kern w:val="0"/>
                <w:sz w:val="21"/>
                <w:szCs w:val="21"/>
                <w:highlight w:val="none"/>
                <w:lang w:val="zh-CN" w:eastAsia="zh-CN" w:bidi="ar-SA"/>
              </w:rPr>
              <w:t>月</w:t>
            </w:r>
            <w:r>
              <w:rPr>
                <w:rFonts w:hint="eastAsia" w:ascii="宋体" w:hAnsi="宋体" w:eastAsia="宋体" w:cs="宋体"/>
                <w:color w:val="auto"/>
                <w:kern w:val="0"/>
                <w:sz w:val="21"/>
                <w:szCs w:val="21"/>
                <w:highlight w:val="none"/>
                <w:lang w:val="en-US" w:eastAsia="zh-CN" w:bidi="ar-SA"/>
              </w:rPr>
              <w:t xml:space="preserve">   </w:t>
            </w:r>
            <w:r>
              <w:rPr>
                <w:rFonts w:hint="eastAsia" w:ascii="宋体" w:hAnsi="宋体" w:eastAsia="宋体" w:cs="宋体"/>
                <w:color w:val="auto"/>
                <w:kern w:val="0"/>
                <w:sz w:val="21"/>
                <w:szCs w:val="21"/>
                <w:highlight w:val="none"/>
                <w:lang w:val="zh-CN" w:eastAsia="zh-CN" w:bidi="ar-SA"/>
              </w:rPr>
              <w:t>日</w:t>
            </w:r>
          </w:p>
        </w:tc>
      </w:tr>
    </w:tbl>
    <w:p>
      <w:pPr>
        <w:widowControl/>
        <w:ind w:firstLine="360" w:firstLineChars="200"/>
        <w:jc w:val="left"/>
        <w:rPr>
          <w:rFonts w:hint="eastAsia" w:ascii="宋体" w:hAnsi="宋体" w:eastAsia="宋体" w:cs="宋体"/>
          <w:color w:val="auto"/>
        </w:rPr>
        <w:sectPr>
          <w:footerReference r:id="rId3" w:type="default"/>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kern w:val="2"/>
          <w:sz w:val="18"/>
          <w:szCs w:val="22"/>
          <w:lang w:val="en-US" w:eastAsia="zh-CN" w:bidi="ar-SA"/>
        </w:rPr>
        <w:t>注：所有价格均用人民币表示，单位为元，精确到小数点后两位。</w:t>
      </w:r>
    </w:p>
    <w:p>
      <w:pPr>
        <w:keepNext/>
        <w:keepLines/>
        <w:widowControl w:val="0"/>
        <w:spacing w:before="260" w:after="260" w:line="416" w:lineRule="auto"/>
        <w:jc w:val="both"/>
      </w:pPr>
      <w:r>
        <w:rPr>
          <w:rFonts w:hint="eastAsia" w:ascii="宋体" w:hAnsi="宋体" w:eastAsia="宋体" w:cs="宋体"/>
          <w:b/>
          <w:bCs/>
          <w:kern w:val="0"/>
          <w:sz w:val="32"/>
          <w:szCs w:val="32"/>
          <w:lang w:val="en-US" w:eastAsia="zh-CN" w:bidi="ar-SA"/>
        </w:rPr>
        <w:t>附：授权委托书（格式自拟）、被授权人身份证复印件（如是法人提供法人身份证复印件）、营业执照副本复印件，均加盖公章。</w:t>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Ђ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1"/>
        <w:lang w:val="en-US" w:eastAsia="zh-CN" w:bidi="ar-SA"/>
      </w:rPr>
      <w:id w:val="466091809"/>
    </w:sdtPr>
    <w:sdtEndPr>
      <w:rPr>
        <w:rFonts w:ascii="Times New Roman" w:hAnsi="Times New Roman" w:eastAsia="宋体" w:cs="Times New Roman"/>
        <w:kern w:val="2"/>
        <w:sz w:val="21"/>
        <w:szCs w:val="21"/>
        <w:lang w:val="en-US" w:eastAsia="zh-CN" w:bidi="ar-SA"/>
      </w:rPr>
    </w:sdtEndPr>
    <w:sdtContent>
      <w:p>
        <w:pPr>
          <w:widowControl w:val="0"/>
          <w:snapToGrid w:val="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fldChar w:fldCharType="begin"/>
        </w:r>
        <w:r>
          <w:rPr>
            <w:rFonts w:ascii="Times New Roman" w:hAnsi="Times New Roman" w:eastAsia="宋体" w:cs="Times New Roman"/>
            <w:kern w:val="2"/>
            <w:sz w:val="21"/>
            <w:szCs w:val="21"/>
            <w:lang w:val="en-US" w:eastAsia="zh-CN" w:bidi="ar-SA"/>
          </w:rPr>
          <w:instrText xml:space="preserve">PAGE   \* MERGEFORMAT</w:instrText>
        </w:r>
        <w:r>
          <w:rPr>
            <w:rFonts w:ascii="Times New Roman" w:hAnsi="Times New Roman" w:eastAsia="宋体" w:cs="Times New Roman"/>
            <w:kern w:val="2"/>
            <w:sz w:val="21"/>
            <w:szCs w:val="21"/>
            <w:lang w:val="en-US" w:eastAsia="zh-CN" w:bidi="ar-SA"/>
          </w:rPr>
          <w:fldChar w:fldCharType="separate"/>
        </w:r>
        <w:r>
          <w:rPr>
            <w:rFonts w:ascii="Times New Roman" w:hAnsi="Times New Roman" w:eastAsia="宋体" w:cs="Times New Roman"/>
            <w:kern w:val="2"/>
            <w:sz w:val="21"/>
            <w:szCs w:val="21"/>
            <w:lang w:val="zh-CN" w:eastAsia="zh-CN" w:bidi="ar-SA"/>
          </w:rPr>
          <w:t>24</w:t>
        </w:r>
        <w:r>
          <w:rPr>
            <w:rFonts w:ascii="Times New Roman" w:hAnsi="Times New Roman" w:eastAsia="宋体" w:cs="Times New Roman"/>
            <w:kern w:val="2"/>
            <w:sz w:val="21"/>
            <w:szCs w:val="21"/>
            <w:lang w:val="en-US" w:eastAsia="zh-CN" w:bidi="ar-SA"/>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1"/>
        <w:lang w:val="en-US" w:eastAsia="zh-CN" w:bidi="ar-SA"/>
      </w:rPr>
      <w:id w:val="466091809"/>
    </w:sdtPr>
    <w:sdtEndPr>
      <w:rPr>
        <w:rFonts w:ascii="Times New Roman" w:hAnsi="Times New Roman" w:eastAsia="宋体" w:cs="Times New Roman"/>
        <w:kern w:val="2"/>
        <w:sz w:val="21"/>
        <w:szCs w:val="21"/>
        <w:lang w:val="en-US" w:eastAsia="zh-CN" w:bidi="ar-SA"/>
      </w:rPr>
    </w:sdtEndPr>
    <w:sdtContent>
      <w:p>
        <w:pPr>
          <w:widowControl w:val="0"/>
          <w:snapToGrid w:val="0"/>
          <w:jc w:val="center"/>
          <w:rPr>
            <w:rFonts w:ascii="Times New Roman" w:hAnsi="Times New Roman" w:eastAsia="宋体" w:cs="Times New Roman"/>
            <w:kern w:val="2"/>
            <w:sz w:val="21"/>
            <w:szCs w:val="21"/>
            <w:lang w:val="en-US" w:eastAsia="zh-CN" w:bidi="ar-SA"/>
          </w:rPr>
        </w:pPr>
        <w:r>
          <w:rPr>
            <w:rFonts w:ascii="Times New Roman" w:hAnsi="Times New Roman" w:eastAsia="宋体" w:cs="Times New Roman"/>
            <w:kern w:val="2"/>
            <w:sz w:val="21"/>
            <w:szCs w:val="21"/>
            <w:lang w:val="en-US" w:eastAsia="zh-CN" w:bidi="ar-SA"/>
          </w:rPr>
          <w:fldChar w:fldCharType="begin"/>
        </w:r>
        <w:r>
          <w:rPr>
            <w:rFonts w:ascii="Times New Roman" w:hAnsi="Times New Roman" w:eastAsia="宋体" w:cs="Times New Roman"/>
            <w:kern w:val="2"/>
            <w:sz w:val="21"/>
            <w:szCs w:val="21"/>
            <w:lang w:val="en-US" w:eastAsia="zh-CN" w:bidi="ar-SA"/>
          </w:rPr>
          <w:instrText xml:space="preserve">PAGE   \* MERGEFORMAT</w:instrText>
        </w:r>
        <w:r>
          <w:rPr>
            <w:rFonts w:ascii="Times New Roman" w:hAnsi="Times New Roman" w:eastAsia="宋体" w:cs="Times New Roman"/>
            <w:kern w:val="2"/>
            <w:sz w:val="21"/>
            <w:szCs w:val="21"/>
            <w:lang w:val="en-US" w:eastAsia="zh-CN" w:bidi="ar-SA"/>
          </w:rPr>
          <w:fldChar w:fldCharType="separate"/>
        </w:r>
        <w:r>
          <w:rPr>
            <w:rFonts w:ascii="Times New Roman" w:hAnsi="Times New Roman" w:eastAsia="宋体" w:cs="Times New Roman"/>
            <w:kern w:val="2"/>
            <w:sz w:val="21"/>
            <w:szCs w:val="21"/>
            <w:lang w:val="zh-CN" w:eastAsia="zh-CN" w:bidi="ar-SA"/>
          </w:rPr>
          <w:t>24</w:t>
        </w:r>
        <w:r>
          <w:rPr>
            <w:rFonts w:ascii="Times New Roman" w:hAnsi="Times New Roman" w:eastAsia="宋体" w:cs="Times New Roman"/>
            <w:kern w:val="2"/>
            <w:sz w:val="21"/>
            <w:szCs w:val="21"/>
            <w:lang w:val="en-US" w:eastAsia="zh-CN" w:bidi="ar-SA"/>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revisionView w:markup="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4ZTFjOWFkNzQ0OTAyNjNjYmYzZTM2NDJkMGMxOTIifQ=="/>
  </w:docVars>
  <w:rsids>
    <w:rsidRoot w:val="00386EE1"/>
    <w:rsid w:val="0000097A"/>
    <w:rsid w:val="00001A45"/>
    <w:rsid w:val="00005BEC"/>
    <w:rsid w:val="00010D87"/>
    <w:rsid w:val="00011652"/>
    <w:rsid w:val="000124D3"/>
    <w:rsid w:val="000228E3"/>
    <w:rsid w:val="00026E36"/>
    <w:rsid w:val="000306A2"/>
    <w:rsid w:val="00030945"/>
    <w:rsid w:val="000317E8"/>
    <w:rsid w:val="00031F17"/>
    <w:rsid w:val="00037D51"/>
    <w:rsid w:val="00045691"/>
    <w:rsid w:val="0005445C"/>
    <w:rsid w:val="00071A41"/>
    <w:rsid w:val="00075426"/>
    <w:rsid w:val="00083B4B"/>
    <w:rsid w:val="00086070"/>
    <w:rsid w:val="00091555"/>
    <w:rsid w:val="0009412F"/>
    <w:rsid w:val="00096276"/>
    <w:rsid w:val="000A1CDE"/>
    <w:rsid w:val="000A22AB"/>
    <w:rsid w:val="000A2C8E"/>
    <w:rsid w:val="000A3BB8"/>
    <w:rsid w:val="000A57ED"/>
    <w:rsid w:val="000A633A"/>
    <w:rsid w:val="000A7D49"/>
    <w:rsid w:val="000A7DFB"/>
    <w:rsid w:val="000B0791"/>
    <w:rsid w:val="000E0385"/>
    <w:rsid w:val="000E3021"/>
    <w:rsid w:val="000E7D4C"/>
    <w:rsid w:val="000F4219"/>
    <w:rsid w:val="000F6115"/>
    <w:rsid w:val="000F6BD5"/>
    <w:rsid w:val="00103DB8"/>
    <w:rsid w:val="00104C54"/>
    <w:rsid w:val="00105EA0"/>
    <w:rsid w:val="001212FB"/>
    <w:rsid w:val="00125B93"/>
    <w:rsid w:val="001270D9"/>
    <w:rsid w:val="0013434E"/>
    <w:rsid w:val="00137014"/>
    <w:rsid w:val="0013761A"/>
    <w:rsid w:val="0014005D"/>
    <w:rsid w:val="00144420"/>
    <w:rsid w:val="001460B9"/>
    <w:rsid w:val="001509B9"/>
    <w:rsid w:val="0015436F"/>
    <w:rsid w:val="00155617"/>
    <w:rsid w:val="001600F5"/>
    <w:rsid w:val="00160D13"/>
    <w:rsid w:val="0016577E"/>
    <w:rsid w:val="00170024"/>
    <w:rsid w:val="00173CBA"/>
    <w:rsid w:val="00174200"/>
    <w:rsid w:val="00177165"/>
    <w:rsid w:val="00197E7C"/>
    <w:rsid w:val="001A51BB"/>
    <w:rsid w:val="001A76D1"/>
    <w:rsid w:val="001B0F15"/>
    <w:rsid w:val="001B5C53"/>
    <w:rsid w:val="001B769F"/>
    <w:rsid w:val="001C2F06"/>
    <w:rsid w:val="001C7852"/>
    <w:rsid w:val="001D458C"/>
    <w:rsid w:val="001E4A50"/>
    <w:rsid w:val="001F03AB"/>
    <w:rsid w:val="001F2929"/>
    <w:rsid w:val="001F4D07"/>
    <w:rsid w:val="001F5567"/>
    <w:rsid w:val="00201E3E"/>
    <w:rsid w:val="00202E29"/>
    <w:rsid w:val="00202FA6"/>
    <w:rsid w:val="0020367E"/>
    <w:rsid w:val="002047FB"/>
    <w:rsid w:val="00207679"/>
    <w:rsid w:val="00211683"/>
    <w:rsid w:val="00213675"/>
    <w:rsid w:val="00213A19"/>
    <w:rsid w:val="00220E30"/>
    <w:rsid w:val="00233540"/>
    <w:rsid w:val="00234605"/>
    <w:rsid w:val="00241376"/>
    <w:rsid w:val="00242A89"/>
    <w:rsid w:val="00244580"/>
    <w:rsid w:val="0024514B"/>
    <w:rsid w:val="00246532"/>
    <w:rsid w:val="00247827"/>
    <w:rsid w:val="00250B08"/>
    <w:rsid w:val="00253025"/>
    <w:rsid w:val="00254BA3"/>
    <w:rsid w:val="00260AF3"/>
    <w:rsid w:val="00263D44"/>
    <w:rsid w:val="00264293"/>
    <w:rsid w:val="00264881"/>
    <w:rsid w:val="00265CC7"/>
    <w:rsid w:val="002673DC"/>
    <w:rsid w:val="00270FFE"/>
    <w:rsid w:val="00277F9E"/>
    <w:rsid w:val="0028137D"/>
    <w:rsid w:val="002906EB"/>
    <w:rsid w:val="002A0A3D"/>
    <w:rsid w:val="002A29EA"/>
    <w:rsid w:val="002A415F"/>
    <w:rsid w:val="002B032D"/>
    <w:rsid w:val="002B05E7"/>
    <w:rsid w:val="002B0853"/>
    <w:rsid w:val="002C1322"/>
    <w:rsid w:val="002C6A08"/>
    <w:rsid w:val="002D2105"/>
    <w:rsid w:val="002D355B"/>
    <w:rsid w:val="002D6506"/>
    <w:rsid w:val="002E078E"/>
    <w:rsid w:val="002E33C8"/>
    <w:rsid w:val="002E4A97"/>
    <w:rsid w:val="002E5386"/>
    <w:rsid w:val="002E5631"/>
    <w:rsid w:val="002E6C15"/>
    <w:rsid w:val="002F0E86"/>
    <w:rsid w:val="002F47F8"/>
    <w:rsid w:val="00302C74"/>
    <w:rsid w:val="0030611C"/>
    <w:rsid w:val="00306ACD"/>
    <w:rsid w:val="003101C9"/>
    <w:rsid w:val="003155AD"/>
    <w:rsid w:val="00320F15"/>
    <w:rsid w:val="0032113D"/>
    <w:rsid w:val="00323E00"/>
    <w:rsid w:val="003273F0"/>
    <w:rsid w:val="00327AB2"/>
    <w:rsid w:val="00334B58"/>
    <w:rsid w:val="00337851"/>
    <w:rsid w:val="0034190C"/>
    <w:rsid w:val="00341CD3"/>
    <w:rsid w:val="003513B7"/>
    <w:rsid w:val="0035293F"/>
    <w:rsid w:val="00365217"/>
    <w:rsid w:val="00372A76"/>
    <w:rsid w:val="00386EE1"/>
    <w:rsid w:val="00390496"/>
    <w:rsid w:val="003A3B62"/>
    <w:rsid w:val="003A4881"/>
    <w:rsid w:val="003B130A"/>
    <w:rsid w:val="003B3546"/>
    <w:rsid w:val="003B5DEE"/>
    <w:rsid w:val="003C25C4"/>
    <w:rsid w:val="003C2F07"/>
    <w:rsid w:val="003C5FAC"/>
    <w:rsid w:val="003C614D"/>
    <w:rsid w:val="003C6736"/>
    <w:rsid w:val="003C7961"/>
    <w:rsid w:val="003D2F42"/>
    <w:rsid w:val="003D627B"/>
    <w:rsid w:val="003D7730"/>
    <w:rsid w:val="003E6194"/>
    <w:rsid w:val="003E64A0"/>
    <w:rsid w:val="003F0DAB"/>
    <w:rsid w:val="003F16EE"/>
    <w:rsid w:val="003F2FAC"/>
    <w:rsid w:val="003F3340"/>
    <w:rsid w:val="003F446A"/>
    <w:rsid w:val="003F79E1"/>
    <w:rsid w:val="00404CA5"/>
    <w:rsid w:val="00414532"/>
    <w:rsid w:val="004150AC"/>
    <w:rsid w:val="00421D9B"/>
    <w:rsid w:val="00421F04"/>
    <w:rsid w:val="00424E27"/>
    <w:rsid w:val="00443620"/>
    <w:rsid w:val="00443EE9"/>
    <w:rsid w:val="00444F58"/>
    <w:rsid w:val="00447B96"/>
    <w:rsid w:val="00454399"/>
    <w:rsid w:val="00457545"/>
    <w:rsid w:val="00457F89"/>
    <w:rsid w:val="00462AA0"/>
    <w:rsid w:val="0046536D"/>
    <w:rsid w:val="00465BAF"/>
    <w:rsid w:val="00466DAA"/>
    <w:rsid w:val="004707C6"/>
    <w:rsid w:val="00476AD0"/>
    <w:rsid w:val="004819ED"/>
    <w:rsid w:val="00483D69"/>
    <w:rsid w:val="0048696E"/>
    <w:rsid w:val="00490B2A"/>
    <w:rsid w:val="00491CD6"/>
    <w:rsid w:val="00492D11"/>
    <w:rsid w:val="0049475F"/>
    <w:rsid w:val="00495A6D"/>
    <w:rsid w:val="004A209A"/>
    <w:rsid w:val="004A3589"/>
    <w:rsid w:val="004A4EA9"/>
    <w:rsid w:val="004B420F"/>
    <w:rsid w:val="004B4A7C"/>
    <w:rsid w:val="004B5B5F"/>
    <w:rsid w:val="004B744B"/>
    <w:rsid w:val="004B77DF"/>
    <w:rsid w:val="004D0FAA"/>
    <w:rsid w:val="004D114D"/>
    <w:rsid w:val="004D214E"/>
    <w:rsid w:val="004D38FE"/>
    <w:rsid w:val="004D4B21"/>
    <w:rsid w:val="004E09AA"/>
    <w:rsid w:val="004E4C3A"/>
    <w:rsid w:val="004F542F"/>
    <w:rsid w:val="004F62F8"/>
    <w:rsid w:val="004F7FFD"/>
    <w:rsid w:val="0050728F"/>
    <w:rsid w:val="00510FD3"/>
    <w:rsid w:val="00513BFC"/>
    <w:rsid w:val="00516657"/>
    <w:rsid w:val="00516A90"/>
    <w:rsid w:val="005332BB"/>
    <w:rsid w:val="00535C83"/>
    <w:rsid w:val="00537A33"/>
    <w:rsid w:val="00537F1F"/>
    <w:rsid w:val="00540509"/>
    <w:rsid w:val="00543E5C"/>
    <w:rsid w:val="00551C6D"/>
    <w:rsid w:val="0055251F"/>
    <w:rsid w:val="00560FBB"/>
    <w:rsid w:val="00565274"/>
    <w:rsid w:val="005730BA"/>
    <w:rsid w:val="00574BE9"/>
    <w:rsid w:val="00576740"/>
    <w:rsid w:val="00580A6D"/>
    <w:rsid w:val="0058231C"/>
    <w:rsid w:val="005852DE"/>
    <w:rsid w:val="005864C5"/>
    <w:rsid w:val="00587B20"/>
    <w:rsid w:val="005976BD"/>
    <w:rsid w:val="005A0AA1"/>
    <w:rsid w:val="005B1DCB"/>
    <w:rsid w:val="005B6A88"/>
    <w:rsid w:val="005C2DF1"/>
    <w:rsid w:val="005D1798"/>
    <w:rsid w:val="005D265C"/>
    <w:rsid w:val="005D5F80"/>
    <w:rsid w:val="005D68D8"/>
    <w:rsid w:val="005D6CE8"/>
    <w:rsid w:val="005D748C"/>
    <w:rsid w:val="005D7929"/>
    <w:rsid w:val="005E5349"/>
    <w:rsid w:val="005E5A1A"/>
    <w:rsid w:val="005E70F6"/>
    <w:rsid w:val="005F04E8"/>
    <w:rsid w:val="005F1C95"/>
    <w:rsid w:val="005F257B"/>
    <w:rsid w:val="005F49D4"/>
    <w:rsid w:val="00602772"/>
    <w:rsid w:val="006032EE"/>
    <w:rsid w:val="00604623"/>
    <w:rsid w:val="00605198"/>
    <w:rsid w:val="006053EF"/>
    <w:rsid w:val="0061282D"/>
    <w:rsid w:val="00613315"/>
    <w:rsid w:val="00613F9C"/>
    <w:rsid w:val="00615BCB"/>
    <w:rsid w:val="00616AA5"/>
    <w:rsid w:val="00631D41"/>
    <w:rsid w:val="006373A8"/>
    <w:rsid w:val="0064303C"/>
    <w:rsid w:val="00645104"/>
    <w:rsid w:val="00646177"/>
    <w:rsid w:val="006502A2"/>
    <w:rsid w:val="006570EB"/>
    <w:rsid w:val="006576BF"/>
    <w:rsid w:val="00665201"/>
    <w:rsid w:val="006672B7"/>
    <w:rsid w:val="00670CA2"/>
    <w:rsid w:val="00671619"/>
    <w:rsid w:val="00672D4E"/>
    <w:rsid w:val="00674DE5"/>
    <w:rsid w:val="00674E3E"/>
    <w:rsid w:val="00674EF4"/>
    <w:rsid w:val="00675B3E"/>
    <w:rsid w:val="00680196"/>
    <w:rsid w:val="0068061C"/>
    <w:rsid w:val="00681C06"/>
    <w:rsid w:val="00686EC4"/>
    <w:rsid w:val="00690D29"/>
    <w:rsid w:val="0069143F"/>
    <w:rsid w:val="006926DD"/>
    <w:rsid w:val="006941F9"/>
    <w:rsid w:val="006A6665"/>
    <w:rsid w:val="006B41CE"/>
    <w:rsid w:val="006B5520"/>
    <w:rsid w:val="006B5FBA"/>
    <w:rsid w:val="006D5500"/>
    <w:rsid w:val="006E35AB"/>
    <w:rsid w:val="006E48BC"/>
    <w:rsid w:val="006F13E1"/>
    <w:rsid w:val="006F2116"/>
    <w:rsid w:val="0070422C"/>
    <w:rsid w:val="00705102"/>
    <w:rsid w:val="007071BC"/>
    <w:rsid w:val="007107E3"/>
    <w:rsid w:val="00712587"/>
    <w:rsid w:val="00715B10"/>
    <w:rsid w:val="00717124"/>
    <w:rsid w:val="007217E5"/>
    <w:rsid w:val="0072292C"/>
    <w:rsid w:val="007236A2"/>
    <w:rsid w:val="00724E3D"/>
    <w:rsid w:val="00724EFD"/>
    <w:rsid w:val="0072551E"/>
    <w:rsid w:val="00727654"/>
    <w:rsid w:val="00727F9D"/>
    <w:rsid w:val="00730E1C"/>
    <w:rsid w:val="00734350"/>
    <w:rsid w:val="00735F3A"/>
    <w:rsid w:val="007371AA"/>
    <w:rsid w:val="00741C8C"/>
    <w:rsid w:val="00743E07"/>
    <w:rsid w:val="00745F17"/>
    <w:rsid w:val="00746940"/>
    <w:rsid w:val="007531AC"/>
    <w:rsid w:val="00756942"/>
    <w:rsid w:val="00760FA7"/>
    <w:rsid w:val="007666E8"/>
    <w:rsid w:val="00770693"/>
    <w:rsid w:val="00773BBB"/>
    <w:rsid w:val="0077493B"/>
    <w:rsid w:val="00792F91"/>
    <w:rsid w:val="00793490"/>
    <w:rsid w:val="00793CAC"/>
    <w:rsid w:val="00795435"/>
    <w:rsid w:val="00796907"/>
    <w:rsid w:val="00796DA1"/>
    <w:rsid w:val="007A0282"/>
    <w:rsid w:val="007A191F"/>
    <w:rsid w:val="007B0BD5"/>
    <w:rsid w:val="007B6149"/>
    <w:rsid w:val="007B6BB8"/>
    <w:rsid w:val="007B6C4C"/>
    <w:rsid w:val="007C0EA3"/>
    <w:rsid w:val="007C44C8"/>
    <w:rsid w:val="007D47C7"/>
    <w:rsid w:val="007E6396"/>
    <w:rsid w:val="007E68D5"/>
    <w:rsid w:val="007F150B"/>
    <w:rsid w:val="008076FB"/>
    <w:rsid w:val="008132F2"/>
    <w:rsid w:val="00821EA2"/>
    <w:rsid w:val="00822912"/>
    <w:rsid w:val="00826E72"/>
    <w:rsid w:val="00835253"/>
    <w:rsid w:val="008441E5"/>
    <w:rsid w:val="008506B7"/>
    <w:rsid w:val="008517F6"/>
    <w:rsid w:val="008553A8"/>
    <w:rsid w:val="00855D1D"/>
    <w:rsid w:val="00862DCC"/>
    <w:rsid w:val="00866C87"/>
    <w:rsid w:val="008708A7"/>
    <w:rsid w:val="00881FF0"/>
    <w:rsid w:val="008831D2"/>
    <w:rsid w:val="00883F8E"/>
    <w:rsid w:val="00884B71"/>
    <w:rsid w:val="0088598E"/>
    <w:rsid w:val="00891A7D"/>
    <w:rsid w:val="008A4B52"/>
    <w:rsid w:val="008B54BD"/>
    <w:rsid w:val="008C5AF6"/>
    <w:rsid w:val="008C5D12"/>
    <w:rsid w:val="008D56C7"/>
    <w:rsid w:val="008F2324"/>
    <w:rsid w:val="008F53FA"/>
    <w:rsid w:val="008F6032"/>
    <w:rsid w:val="00901B06"/>
    <w:rsid w:val="00903A25"/>
    <w:rsid w:val="00905C50"/>
    <w:rsid w:val="00907246"/>
    <w:rsid w:val="00920CE1"/>
    <w:rsid w:val="00921EE3"/>
    <w:rsid w:val="009223EE"/>
    <w:rsid w:val="00923A81"/>
    <w:rsid w:val="00923C4A"/>
    <w:rsid w:val="0092629E"/>
    <w:rsid w:val="00932F62"/>
    <w:rsid w:val="00934E2C"/>
    <w:rsid w:val="0093738E"/>
    <w:rsid w:val="00942A54"/>
    <w:rsid w:val="00942D35"/>
    <w:rsid w:val="0094353C"/>
    <w:rsid w:val="009439A6"/>
    <w:rsid w:val="0095124F"/>
    <w:rsid w:val="00953148"/>
    <w:rsid w:val="00957D64"/>
    <w:rsid w:val="0096031B"/>
    <w:rsid w:val="009629E2"/>
    <w:rsid w:val="00965F40"/>
    <w:rsid w:val="009701BC"/>
    <w:rsid w:val="00972A48"/>
    <w:rsid w:val="00974855"/>
    <w:rsid w:val="00974B06"/>
    <w:rsid w:val="00981189"/>
    <w:rsid w:val="009814FD"/>
    <w:rsid w:val="0098494A"/>
    <w:rsid w:val="00985F13"/>
    <w:rsid w:val="00986B14"/>
    <w:rsid w:val="009876EF"/>
    <w:rsid w:val="009940E9"/>
    <w:rsid w:val="00995420"/>
    <w:rsid w:val="00995C76"/>
    <w:rsid w:val="009A1374"/>
    <w:rsid w:val="009B1662"/>
    <w:rsid w:val="009B6955"/>
    <w:rsid w:val="009C0B29"/>
    <w:rsid w:val="009C26B6"/>
    <w:rsid w:val="009C28AF"/>
    <w:rsid w:val="009C3580"/>
    <w:rsid w:val="009D08C2"/>
    <w:rsid w:val="009E1020"/>
    <w:rsid w:val="009E3572"/>
    <w:rsid w:val="009E639F"/>
    <w:rsid w:val="009E7168"/>
    <w:rsid w:val="009F7B47"/>
    <w:rsid w:val="009F7CCF"/>
    <w:rsid w:val="00A016A4"/>
    <w:rsid w:val="00A15F93"/>
    <w:rsid w:val="00A211FD"/>
    <w:rsid w:val="00A238D5"/>
    <w:rsid w:val="00A330A0"/>
    <w:rsid w:val="00A35373"/>
    <w:rsid w:val="00A35A0F"/>
    <w:rsid w:val="00A42AF8"/>
    <w:rsid w:val="00A42F91"/>
    <w:rsid w:val="00A51645"/>
    <w:rsid w:val="00A616F6"/>
    <w:rsid w:val="00A61ACF"/>
    <w:rsid w:val="00A63E01"/>
    <w:rsid w:val="00A65C34"/>
    <w:rsid w:val="00A67EEC"/>
    <w:rsid w:val="00A80603"/>
    <w:rsid w:val="00A82184"/>
    <w:rsid w:val="00A82993"/>
    <w:rsid w:val="00A863A5"/>
    <w:rsid w:val="00A91029"/>
    <w:rsid w:val="00A910FF"/>
    <w:rsid w:val="00A9469A"/>
    <w:rsid w:val="00AA07E1"/>
    <w:rsid w:val="00AA275E"/>
    <w:rsid w:val="00AA6123"/>
    <w:rsid w:val="00AB3614"/>
    <w:rsid w:val="00AB37B2"/>
    <w:rsid w:val="00AB58D1"/>
    <w:rsid w:val="00AC35D9"/>
    <w:rsid w:val="00AC6DCC"/>
    <w:rsid w:val="00AE2EA8"/>
    <w:rsid w:val="00AE7A03"/>
    <w:rsid w:val="00B03E72"/>
    <w:rsid w:val="00B1172F"/>
    <w:rsid w:val="00B12BD4"/>
    <w:rsid w:val="00B12E79"/>
    <w:rsid w:val="00B149A1"/>
    <w:rsid w:val="00B30C2D"/>
    <w:rsid w:val="00B40743"/>
    <w:rsid w:val="00B44570"/>
    <w:rsid w:val="00B461BC"/>
    <w:rsid w:val="00B47A60"/>
    <w:rsid w:val="00B619FD"/>
    <w:rsid w:val="00B63228"/>
    <w:rsid w:val="00B70370"/>
    <w:rsid w:val="00B7086D"/>
    <w:rsid w:val="00B741BB"/>
    <w:rsid w:val="00B77489"/>
    <w:rsid w:val="00B802AA"/>
    <w:rsid w:val="00B817B2"/>
    <w:rsid w:val="00B87721"/>
    <w:rsid w:val="00B90382"/>
    <w:rsid w:val="00B94E4A"/>
    <w:rsid w:val="00B96C8A"/>
    <w:rsid w:val="00BA1C12"/>
    <w:rsid w:val="00BA3252"/>
    <w:rsid w:val="00BB3B48"/>
    <w:rsid w:val="00BB434A"/>
    <w:rsid w:val="00BB4BCE"/>
    <w:rsid w:val="00BB59B6"/>
    <w:rsid w:val="00BB6D2C"/>
    <w:rsid w:val="00BC6DF1"/>
    <w:rsid w:val="00BD0559"/>
    <w:rsid w:val="00BD1B9C"/>
    <w:rsid w:val="00BE1A15"/>
    <w:rsid w:val="00BE725F"/>
    <w:rsid w:val="00BE7EDE"/>
    <w:rsid w:val="00BF12D9"/>
    <w:rsid w:val="00BF3B07"/>
    <w:rsid w:val="00BF409C"/>
    <w:rsid w:val="00BF592F"/>
    <w:rsid w:val="00BF7AF2"/>
    <w:rsid w:val="00C0116F"/>
    <w:rsid w:val="00C029E5"/>
    <w:rsid w:val="00C0337E"/>
    <w:rsid w:val="00C157F9"/>
    <w:rsid w:val="00C174C1"/>
    <w:rsid w:val="00C174F7"/>
    <w:rsid w:val="00C17C09"/>
    <w:rsid w:val="00C206F3"/>
    <w:rsid w:val="00C36F44"/>
    <w:rsid w:val="00C41935"/>
    <w:rsid w:val="00C441FD"/>
    <w:rsid w:val="00C47610"/>
    <w:rsid w:val="00C5130D"/>
    <w:rsid w:val="00C51708"/>
    <w:rsid w:val="00C54549"/>
    <w:rsid w:val="00C60A53"/>
    <w:rsid w:val="00C65B5F"/>
    <w:rsid w:val="00C70C0B"/>
    <w:rsid w:val="00C7318B"/>
    <w:rsid w:val="00C80FF6"/>
    <w:rsid w:val="00C83961"/>
    <w:rsid w:val="00C83BFB"/>
    <w:rsid w:val="00C907CC"/>
    <w:rsid w:val="00CA1BC8"/>
    <w:rsid w:val="00CA6E22"/>
    <w:rsid w:val="00CC0A68"/>
    <w:rsid w:val="00CC22B9"/>
    <w:rsid w:val="00CC26B1"/>
    <w:rsid w:val="00CC4277"/>
    <w:rsid w:val="00CD7250"/>
    <w:rsid w:val="00CD7E6A"/>
    <w:rsid w:val="00CE12FB"/>
    <w:rsid w:val="00CE1C4F"/>
    <w:rsid w:val="00CE4DB6"/>
    <w:rsid w:val="00CE55EB"/>
    <w:rsid w:val="00CF3F27"/>
    <w:rsid w:val="00CF50B9"/>
    <w:rsid w:val="00CF5E76"/>
    <w:rsid w:val="00CF64B2"/>
    <w:rsid w:val="00CF6DFC"/>
    <w:rsid w:val="00D007A2"/>
    <w:rsid w:val="00D03AE0"/>
    <w:rsid w:val="00D06274"/>
    <w:rsid w:val="00D06F69"/>
    <w:rsid w:val="00D07E74"/>
    <w:rsid w:val="00D27873"/>
    <w:rsid w:val="00D326B3"/>
    <w:rsid w:val="00D3488A"/>
    <w:rsid w:val="00D357F1"/>
    <w:rsid w:val="00D36562"/>
    <w:rsid w:val="00D378DE"/>
    <w:rsid w:val="00D4314D"/>
    <w:rsid w:val="00D46272"/>
    <w:rsid w:val="00D53126"/>
    <w:rsid w:val="00D56BF2"/>
    <w:rsid w:val="00D5713D"/>
    <w:rsid w:val="00D63BA8"/>
    <w:rsid w:val="00D66EA5"/>
    <w:rsid w:val="00D712D1"/>
    <w:rsid w:val="00D73D59"/>
    <w:rsid w:val="00D73EBF"/>
    <w:rsid w:val="00D74A9F"/>
    <w:rsid w:val="00D826BF"/>
    <w:rsid w:val="00D83040"/>
    <w:rsid w:val="00D85B18"/>
    <w:rsid w:val="00D937CD"/>
    <w:rsid w:val="00D9509F"/>
    <w:rsid w:val="00D950F7"/>
    <w:rsid w:val="00DA04E0"/>
    <w:rsid w:val="00DA4FA2"/>
    <w:rsid w:val="00DA64D9"/>
    <w:rsid w:val="00DB1B4D"/>
    <w:rsid w:val="00DB2C35"/>
    <w:rsid w:val="00DB378C"/>
    <w:rsid w:val="00DB612D"/>
    <w:rsid w:val="00DC62A4"/>
    <w:rsid w:val="00DD077F"/>
    <w:rsid w:val="00DD0F27"/>
    <w:rsid w:val="00DD2898"/>
    <w:rsid w:val="00DD5652"/>
    <w:rsid w:val="00DE3C96"/>
    <w:rsid w:val="00DE3FDA"/>
    <w:rsid w:val="00DF1E1A"/>
    <w:rsid w:val="00DF2408"/>
    <w:rsid w:val="00DF3611"/>
    <w:rsid w:val="00DF5F2B"/>
    <w:rsid w:val="00DF629C"/>
    <w:rsid w:val="00DF77AC"/>
    <w:rsid w:val="00DF7944"/>
    <w:rsid w:val="00E03AA8"/>
    <w:rsid w:val="00E06A9F"/>
    <w:rsid w:val="00E139DC"/>
    <w:rsid w:val="00E13E4F"/>
    <w:rsid w:val="00E225AA"/>
    <w:rsid w:val="00E23812"/>
    <w:rsid w:val="00E27B2F"/>
    <w:rsid w:val="00E34291"/>
    <w:rsid w:val="00E419EF"/>
    <w:rsid w:val="00E421EB"/>
    <w:rsid w:val="00E42698"/>
    <w:rsid w:val="00E46267"/>
    <w:rsid w:val="00E62B05"/>
    <w:rsid w:val="00E72A85"/>
    <w:rsid w:val="00E838B3"/>
    <w:rsid w:val="00E85B44"/>
    <w:rsid w:val="00E91FC6"/>
    <w:rsid w:val="00E93F90"/>
    <w:rsid w:val="00E945DA"/>
    <w:rsid w:val="00E95F09"/>
    <w:rsid w:val="00EA4C4D"/>
    <w:rsid w:val="00EA6750"/>
    <w:rsid w:val="00EA7C14"/>
    <w:rsid w:val="00EB32F1"/>
    <w:rsid w:val="00EB46EB"/>
    <w:rsid w:val="00EB52F0"/>
    <w:rsid w:val="00EC18D7"/>
    <w:rsid w:val="00EC3F17"/>
    <w:rsid w:val="00EC4C69"/>
    <w:rsid w:val="00EC523A"/>
    <w:rsid w:val="00EC6669"/>
    <w:rsid w:val="00ED179E"/>
    <w:rsid w:val="00ED1B51"/>
    <w:rsid w:val="00ED415E"/>
    <w:rsid w:val="00EE2202"/>
    <w:rsid w:val="00EE463B"/>
    <w:rsid w:val="00EF0D61"/>
    <w:rsid w:val="00EF135F"/>
    <w:rsid w:val="00EF3FA2"/>
    <w:rsid w:val="00EF7BDE"/>
    <w:rsid w:val="00F05176"/>
    <w:rsid w:val="00F052AE"/>
    <w:rsid w:val="00F1423A"/>
    <w:rsid w:val="00F14575"/>
    <w:rsid w:val="00F3373A"/>
    <w:rsid w:val="00F34454"/>
    <w:rsid w:val="00F50BCE"/>
    <w:rsid w:val="00F51547"/>
    <w:rsid w:val="00F51F86"/>
    <w:rsid w:val="00F65656"/>
    <w:rsid w:val="00F66333"/>
    <w:rsid w:val="00F7028C"/>
    <w:rsid w:val="00F72E20"/>
    <w:rsid w:val="00F8025C"/>
    <w:rsid w:val="00F80F75"/>
    <w:rsid w:val="00F846F7"/>
    <w:rsid w:val="00F8588E"/>
    <w:rsid w:val="00F91515"/>
    <w:rsid w:val="00F93A78"/>
    <w:rsid w:val="00F97316"/>
    <w:rsid w:val="00FA5E7B"/>
    <w:rsid w:val="00FA6386"/>
    <w:rsid w:val="00FB02D9"/>
    <w:rsid w:val="00FB247A"/>
    <w:rsid w:val="00FB39CC"/>
    <w:rsid w:val="00FB464E"/>
    <w:rsid w:val="00FB6150"/>
    <w:rsid w:val="00FB67DD"/>
    <w:rsid w:val="00FC5497"/>
    <w:rsid w:val="00FD208C"/>
    <w:rsid w:val="00FD3FDA"/>
    <w:rsid w:val="00FD4CAC"/>
    <w:rsid w:val="00FE026E"/>
    <w:rsid w:val="00FE3098"/>
    <w:rsid w:val="00FF3EE9"/>
    <w:rsid w:val="00FF535F"/>
    <w:rsid w:val="00FF538C"/>
    <w:rsid w:val="00FF650D"/>
    <w:rsid w:val="01BE3EFE"/>
    <w:rsid w:val="01DE6B47"/>
    <w:rsid w:val="029016C3"/>
    <w:rsid w:val="03E711DD"/>
    <w:rsid w:val="04762137"/>
    <w:rsid w:val="04DC01EC"/>
    <w:rsid w:val="053864C5"/>
    <w:rsid w:val="05434897"/>
    <w:rsid w:val="05E84622"/>
    <w:rsid w:val="05F529F7"/>
    <w:rsid w:val="05F52B08"/>
    <w:rsid w:val="064A3E83"/>
    <w:rsid w:val="06874187"/>
    <w:rsid w:val="07AC0702"/>
    <w:rsid w:val="09931095"/>
    <w:rsid w:val="09EC3BEF"/>
    <w:rsid w:val="0ABD461B"/>
    <w:rsid w:val="0ADB0F46"/>
    <w:rsid w:val="0B265016"/>
    <w:rsid w:val="0B6131F9"/>
    <w:rsid w:val="0C0A7D34"/>
    <w:rsid w:val="0C4072B2"/>
    <w:rsid w:val="0CC002B5"/>
    <w:rsid w:val="0CD03320"/>
    <w:rsid w:val="0D692839"/>
    <w:rsid w:val="0D912649"/>
    <w:rsid w:val="0E093256"/>
    <w:rsid w:val="0E102746"/>
    <w:rsid w:val="0ED87C76"/>
    <w:rsid w:val="0F6B0AEA"/>
    <w:rsid w:val="0F8A7C92"/>
    <w:rsid w:val="0FDC0F5E"/>
    <w:rsid w:val="11D3607E"/>
    <w:rsid w:val="124B7CBB"/>
    <w:rsid w:val="138C63AF"/>
    <w:rsid w:val="140E5EE8"/>
    <w:rsid w:val="14524026"/>
    <w:rsid w:val="14C720F3"/>
    <w:rsid w:val="150707B2"/>
    <w:rsid w:val="150F1F18"/>
    <w:rsid w:val="15FF01DE"/>
    <w:rsid w:val="162806A9"/>
    <w:rsid w:val="16B84AB6"/>
    <w:rsid w:val="18090EA0"/>
    <w:rsid w:val="182106F5"/>
    <w:rsid w:val="184719C8"/>
    <w:rsid w:val="1941322B"/>
    <w:rsid w:val="1A136422"/>
    <w:rsid w:val="1A1B43A3"/>
    <w:rsid w:val="1A2538CB"/>
    <w:rsid w:val="1A393593"/>
    <w:rsid w:val="1CCE67F7"/>
    <w:rsid w:val="1D4D4C1A"/>
    <w:rsid w:val="1D547453"/>
    <w:rsid w:val="1DE83D59"/>
    <w:rsid w:val="1E2A1B70"/>
    <w:rsid w:val="1E423FE5"/>
    <w:rsid w:val="1FA02C62"/>
    <w:rsid w:val="201E74B3"/>
    <w:rsid w:val="20262D6F"/>
    <w:rsid w:val="21345EAA"/>
    <w:rsid w:val="21EF2307"/>
    <w:rsid w:val="22157CBE"/>
    <w:rsid w:val="24781C84"/>
    <w:rsid w:val="24F65960"/>
    <w:rsid w:val="25656F56"/>
    <w:rsid w:val="26503EB6"/>
    <w:rsid w:val="2741482A"/>
    <w:rsid w:val="284D2CE6"/>
    <w:rsid w:val="28B3731E"/>
    <w:rsid w:val="290A40D3"/>
    <w:rsid w:val="29733BCC"/>
    <w:rsid w:val="2AA3018A"/>
    <w:rsid w:val="2ABD5E2D"/>
    <w:rsid w:val="2B4D4497"/>
    <w:rsid w:val="2B5244B4"/>
    <w:rsid w:val="2C066BB0"/>
    <w:rsid w:val="2C6721E1"/>
    <w:rsid w:val="2C7548FE"/>
    <w:rsid w:val="2CD31625"/>
    <w:rsid w:val="2D8466E6"/>
    <w:rsid w:val="2DAD0DAA"/>
    <w:rsid w:val="2EDF2503"/>
    <w:rsid w:val="311477A9"/>
    <w:rsid w:val="3136424F"/>
    <w:rsid w:val="325B5BEE"/>
    <w:rsid w:val="33462425"/>
    <w:rsid w:val="335A65FC"/>
    <w:rsid w:val="342F7A89"/>
    <w:rsid w:val="364052EA"/>
    <w:rsid w:val="36726710"/>
    <w:rsid w:val="370C2936"/>
    <w:rsid w:val="37373858"/>
    <w:rsid w:val="379FEFFB"/>
    <w:rsid w:val="3814321D"/>
    <w:rsid w:val="384A1AAB"/>
    <w:rsid w:val="386C3059"/>
    <w:rsid w:val="38DD0A09"/>
    <w:rsid w:val="395B5181"/>
    <w:rsid w:val="3C090BBF"/>
    <w:rsid w:val="3C917532"/>
    <w:rsid w:val="3E09601C"/>
    <w:rsid w:val="3E477760"/>
    <w:rsid w:val="3EC021AB"/>
    <w:rsid w:val="3F827606"/>
    <w:rsid w:val="3F9133A5"/>
    <w:rsid w:val="3FCE0156"/>
    <w:rsid w:val="3FDF2AC5"/>
    <w:rsid w:val="3FFC9415"/>
    <w:rsid w:val="405852F2"/>
    <w:rsid w:val="406D10C5"/>
    <w:rsid w:val="42111CD3"/>
    <w:rsid w:val="42991861"/>
    <w:rsid w:val="447A08AC"/>
    <w:rsid w:val="453E18DA"/>
    <w:rsid w:val="45FB7CD6"/>
    <w:rsid w:val="46713F31"/>
    <w:rsid w:val="47D66741"/>
    <w:rsid w:val="493059DD"/>
    <w:rsid w:val="49554AD5"/>
    <w:rsid w:val="4A561E1D"/>
    <w:rsid w:val="4B736055"/>
    <w:rsid w:val="4C552FF8"/>
    <w:rsid w:val="4CA010CC"/>
    <w:rsid w:val="4CDF0899"/>
    <w:rsid w:val="4D14069B"/>
    <w:rsid w:val="4D9C3A57"/>
    <w:rsid w:val="4DAD57D6"/>
    <w:rsid w:val="4DFD1E6C"/>
    <w:rsid w:val="52EE02A5"/>
    <w:rsid w:val="531812F6"/>
    <w:rsid w:val="532C5467"/>
    <w:rsid w:val="54687C1E"/>
    <w:rsid w:val="54736D6A"/>
    <w:rsid w:val="54760B8E"/>
    <w:rsid w:val="55BFB78A"/>
    <w:rsid w:val="5680581D"/>
    <w:rsid w:val="56F823B1"/>
    <w:rsid w:val="577E831A"/>
    <w:rsid w:val="57AB0AB7"/>
    <w:rsid w:val="57AF2B0B"/>
    <w:rsid w:val="57EC6346"/>
    <w:rsid w:val="588E2720"/>
    <w:rsid w:val="58B9221D"/>
    <w:rsid w:val="59091DA7"/>
    <w:rsid w:val="593475DD"/>
    <w:rsid w:val="59A31E1D"/>
    <w:rsid w:val="59B32844"/>
    <w:rsid w:val="59EA420D"/>
    <w:rsid w:val="5A253171"/>
    <w:rsid w:val="5A330E35"/>
    <w:rsid w:val="5AD61325"/>
    <w:rsid w:val="5ADA7E9F"/>
    <w:rsid w:val="5B156F4F"/>
    <w:rsid w:val="5B2D210D"/>
    <w:rsid w:val="5C75262F"/>
    <w:rsid w:val="5C97089D"/>
    <w:rsid w:val="5D8F2F0E"/>
    <w:rsid w:val="5DA14CA4"/>
    <w:rsid w:val="62C34EC1"/>
    <w:rsid w:val="65331CD8"/>
    <w:rsid w:val="65D13CBB"/>
    <w:rsid w:val="66155FBE"/>
    <w:rsid w:val="66272C1D"/>
    <w:rsid w:val="66DE1DD8"/>
    <w:rsid w:val="66F53F8B"/>
    <w:rsid w:val="684828EC"/>
    <w:rsid w:val="68580655"/>
    <w:rsid w:val="68AB4ED5"/>
    <w:rsid w:val="69B4016B"/>
    <w:rsid w:val="6A00070B"/>
    <w:rsid w:val="6A116234"/>
    <w:rsid w:val="6A3D5D54"/>
    <w:rsid w:val="6A9C5D28"/>
    <w:rsid w:val="6AE92C4C"/>
    <w:rsid w:val="6DFD47F8"/>
    <w:rsid w:val="6E9F2B3A"/>
    <w:rsid w:val="6ED07197"/>
    <w:rsid w:val="6F592026"/>
    <w:rsid w:val="6FCF7274"/>
    <w:rsid w:val="70401742"/>
    <w:rsid w:val="715A71EC"/>
    <w:rsid w:val="71A87F57"/>
    <w:rsid w:val="71B42DA0"/>
    <w:rsid w:val="71D90A58"/>
    <w:rsid w:val="726A2808"/>
    <w:rsid w:val="726F03BA"/>
    <w:rsid w:val="72A062BC"/>
    <w:rsid w:val="736302B3"/>
    <w:rsid w:val="73ED371B"/>
    <w:rsid w:val="73F2509D"/>
    <w:rsid w:val="750E27C7"/>
    <w:rsid w:val="75232F26"/>
    <w:rsid w:val="7533222E"/>
    <w:rsid w:val="75805BF4"/>
    <w:rsid w:val="76650B0D"/>
    <w:rsid w:val="777BC937"/>
    <w:rsid w:val="795C4F06"/>
    <w:rsid w:val="7B5252A1"/>
    <w:rsid w:val="7BBF3488"/>
    <w:rsid w:val="7BD6405A"/>
    <w:rsid w:val="7BEDDC74"/>
    <w:rsid w:val="7BF3C763"/>
    <w:rsid w:val="7C4B4FD3"/>
    <w:rsid w:val="7D7D7785"/>
    <w:rsid w:val="7DF7B49A"/>
    <w:rsid w:val="7E066DCA"/>
    <w:rsid w:val="7E43266C"/>
    <w:rsid w:val="7E4A0B18"/>
    <w:rsid w:val="7EDBAB1A"/>
    <w:rsid w:val="7F114A2A"/>
    <w:rsid w:val="7F3FB7AB"/>
    <w:rsid w:val="7FBE46E5"/>
    <w:rsid w:val="7FE22D37"/>
    <w:rsid w:val="7FE31252"/>
    <w:rsid w:val="7FFC694A"/>
    <w:rsid w:val="7FFD442D"/>
    <w:rsid w:val="98EF8C6E"/>
    <w:rsid w:val="AEDF5CD1"/>
    <w:rsid w:val="B45E8E39"/>
    <w:rsid w:val="BC16E104"/>
    <w:rsid w:val="BFE9A0A5"/>
    <w:rsid w:val="CD7DB707"/>
    <w:rsid w:val="D2FEE547"/>
    <w:rsid w:val="D6748C42"/>
    <w:rsid w:val="DE2BE039"/>
    <w:rsid w:val="DFAF1635"/>
    <w:rsid w:val="E5231282"/>
    <w:rsid w:val="EAAE3B07"/>
    <w:rsid w:val="ECC3B3B1"/>
    <w:rsid w:val="EDFF8063"/>
    <w:rsid w:val="EDFFBCB2"/>
    <w:rsid w:val="EE1FFFB5"/>
    <w:rsid w:val="EFB51D57"/>
    <w:rsid w:val="F5E70D81"/>
    <w:rsid w:val="F6F61D16"/>
    <w:rsid w:val="F77AB567"/>
    <w:rsid w:val="F7F57765"/>
    <w:rsid w:val="FBB9D7D2"/>
    <w:rsid w:val="FBDAF3E1"/>
    <w:rsid w:val="FBFA30C7"/>
    <w:rsid w:val="FBFBB2B6"/>
    <w:rsid w:val="FD65BA58"/>
    <w:rsid w:val="FDED99A3"/>
    <w:rsid w:val="FDEFC329"/>
    <w:rsid w:val="FEFD4EBC"/>
    <w:rsid w:val="FF6F36BC"/>
    <w:rsid w:val="FFC64B43"/>
    <w:rsid w:val="FFC7213E"/>
    <w:rsid w:val="FFE2EAF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Change w:id="0" w:author="Lan" w:date="2024-05-07T10:45:00Z">
        <w:pPr>
          <w:widowControl w:val="0"/>
          <w:jc w:val="both"/>
        </w:pPr>
      </w:pPrChange>
    </w:pPr>
    <w:rPr>
      <w:rFonts w:asciiTheme="minorHAnsi" w:hAnsiTheme="minorHAnsi" w:eastAsiaTheme="minorEastAsia" w:cstheme="minorBidi"/>
      <w:kern w:val="2"/>
      <w:sz w:val="21"/>
      <w:szCs w:val="22"/>
      <w:lang w:val="en-US" w:eastAsia="zh-CN" w:bidi="ar-SA"/>
      <w:rPrChange w:id="1" w:author="Lan" w:date="2024-05-07T10:45:00Z">
        <w:rPr>
          <w:rFonts w:asciiTheme="minorHAnsi" w:hAnsiTheme="minorHAnsi" w:eastAsiaTheme="minorEastAsia" w:cstheme="minorBidi"/>
          <w:kern w:val="2"/>
          <w:sz w:val="21"/>
          <w:szCs w:val="22"/>
          <w:lang w:val="en-US" w:eastAsia="zh-CN" w:bidi="ar-SA"/>
        </w:rPr>
      </w:rPrChange>
    </w:rPr>
  </w:style>
  <w:style w:type="paragraph" w:styleId="3">
    <w:name w:val="heading 1"/>
    <w:basedOn w:val="1"/>
    <w:next w:val="1"/>
    <w:link w:val="41"/>
    <w:autoRedefine/>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3"/>
    <w:autoRedefine/>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5"/>
    <w:autoRedefine/>
    <w:unhideWhenUsed/>
    <w:qFormat/>
    <w:uiPriority w:val="9"/>
    <w:pPr>
      <w:keepNext/>
      <w:keepLines/>
      <w:spacing w:before="260" w:after="260" w:line="416" w:lineRule="auto"/>
      <w:outlineLvl w:val="2"/>
    </w:pPr>
    <w:rPr>
      <w:b/>
      <w:bCs/>
      <w:sz w:val="32"/>
      <w:szCs w:val="32"/>
    </w:rPr>
  </w:style>
  <w:style w:type="paragraph" w:styleId="6">
    <w:name w:val="heading 4"/>
    <w:basedOn w:val="1"/>
    <w:next w:val="1"/>
    <w:unhideWhenUsed/>
    <w:qFormat/>
    <w:uiPriority w:val="0"/>
    <w:pPr>
      <w:keepNext/>
      <w:keepLines/>
      <w:spacing w:before="280" w:after="290" w:line="480" w:lineRule="exact"/>
      <w:jc w:val="center"/>
      <w:outlineLvl w:val="3"/>
    </w:pPr>
    <w:rPr>
      <w:rFonts w:ascii="Cambria" w:hAnsi="Cambria" w:cs="Times New Roman"/>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2">
    <w:name w:val="Heading2"/>
    <w:basedOn w:val="1"/>
    <w:next w:val="1"/>
    <w:qFormat/>
    <w:uiPriority w:val="0"/>
    <w:pPr>
      <w:keepNext/>
      <w:keepLines/>
      <w:spacing w:before="260" w:after="260" w:line="416" w:lineRule="auto"/>
    </w:pPr>
    <w:rPr>
      <w:rFonts w:ascii="Arial" w:hAnsi="Arial" w:eastAsia="黑体" w:cs="Times New Roman"/>
      <w:b/>
      <w:bCs/>
      <w:kern w:val="0"/>
      <w:sz w:val="32"/>
      <w:szCs w:val="32"/>
    </w:rPr>
  </w:style>
  <w:style w:type="paragraph" w:styleId="7">
    <w:name w:val="toc 7"/>
    <w:basedOn w:val="1"/>
    <w:next w:val="1"/>
    <w:autoRedefine/>
    <w:unhideWhenUsed/>
    <w:qFormat/>
    <w:uiPriority w:val="39"/>
    <w:pPr>
      <w:ind w:left="1260"/>
      <w:jc w:val="left"/>
    </w:pPr>
    <w:rPr>
      <w:rFonts w:eastAsiaTheme="minorHAnsi"/>
      <w:sz w:val="18"/>
      <w:szCs w:val="18"/>
    </w:rPr>
  </w:style>
  <w:style w:type="paragraph" w:styleId="8">
    <w:name w:val="Normal Indent"/>
    <w:basedOn w:val="1"/>
    <w:next w:val="9"/>
    <w:qFormat/>
    <w:uiPriority w:val="0"/>
    <w:pPr>
      <w:ind w:firstLine="420"/>
    </w:pPr>
    <w:rPr>
      <w:szCs w:val="20"/>
    </w:rPr>
  </w:style>
  <w:style w:type="paragraph" w:styleId="9">
    <w:name w:val="Body Text"/>
    <w:basedOn w:val="1"/>
    <w:next w:val="10"/>
    <w:link w:val="49"/>
    <w:autoRedefine/>
    <w:qFormat/>
    <w:uiPriority w:val="99"/>
    <w:pPr>
      <w:ind w:firstLine="420" w:firstLineChars="200"/>
      <w:pPrChange w:id="2" w:author="chenxi" w:date="2024-05-06T23:04:00Z">
        <w:pPr>
          <w:widowControl w:val="0"/>
          <w:ind w:firstLine="560" w:firstLineChars="200"/>
          <w:jc w:val="both"/>
        </w:pPr>
      </w:pPrChange>
    </w:pPr>
    <w:rPr>
      <w:rFonts w:cs="仿宋"/>
      <w:szCs w:val="28"/>
      <w:rPrChange w:id="3" w:author="chenxi" w:date="2024-05-06T23:04:00Z">
        <w:rPr>
          <w:rFonts w:cs="仿宋" w:asciiTheme="minorHAnsi" w:hAnsiTheme="minorHAnsi" w:eastAsiaTheme="minorEastAsia"/>
          <w:kern w:val="2"/>
          <w:sz w:val="21"/>
          <w:szCs w:val="28"/>
          <w:lang w:val="en-US" w:eastAsia="zh-CN" w:bidi="ar-SA"/>
        </w:rPr>
      </w:rPrChange>
    </w:rPr>
  </w:style>
  <w:style w:type="paragraph" w:styleId="10">
    <w:name w:val="Body Text 2"/>
    <w:basedOn w:val="1"/>
    <w:qFormat/>
    <w:uiPriority w:val="0"/>
    <w:pPr>
      <w:spacing w:after="120" w:line="480" w:lineRule="auto"/>
    </w:pPr>
  </w:style>
  <w:style w:type="paragraph" w:styleId="11">
    <w:name w:val="annotation text"/>
    <w:basedOn w:val="1"/>
    <w:link w:val="53"/>
    <w:autoRedefine/>
    <w:unhideWhenUsed/>
    <w:qFormat/>
    <w:uiPriority w:val="99"/>
    <w:pPr>
      <w:jc w:val="left"/>
    </w:pPr>
  </w:style>
  <w:style w:type="paragraph" w:styleId="12">
    <w:name w:val="toc 5"/>
    <w:basedOn w:val="1"/>
    <w:next w:val="1"/>
    <w:autoRedefine/>
    <w:unhideWhenUsed/>
    <w:qFormat/>
    <w:uiPriority w:val="39"/>
    <w:pPr>
      <w:ind w:left="840"/>
      <w:jc w:val="left"/>
    </w:pPr>
    <w:rPr>
      <w:rFonts w:eastAsiaTheme="minorHAnsi"/>
      <w:sz w:val="18"/>
      <w:szCs w:val="18"/>
    </w:rPr>
  </w:style>
  <w:style w:type="paragraph" w:styleId="13">
    <w:name w:val="toc 3"/>
    <w:basedOn w:val="1"/>
    <w:next w:val="1"/>
    <w:autoRedefine/>
    <w:unhideWhenUsed/>
    <w:qFormat/>
    <w:uiPriority w:val="39"/>
    <w:pPr>
      <w:ind w:left="420"/>
      <w:jc w:val="left"/>
    </w:pPr>
    <w:rPr>
      <w:rFonts w:eastAsiaTheme="minorHAnsi"/>
      <w:i/>
      <w:iCs/>
      <w:sz w:val="20"/>
      <w:szCs w:val="20"/>
    </w:rPr>
  </w:style>
  <w:style w:type="paragraph" w:styleId="14">
    <w:name w:val="Plain Text"/>
    <w:basedOn w:val="1"/>
    <w:link w:val="35"/>
    <w:autoRedefine/>
    <w:unhideWhenUsed/>
    <w:qFormat/>
    <w:uiPriority w:val="0"/>
    <w:rPr>
      <w:rFonts w:ascii="Times New Roman" w:hAnsi="Times New Roman" w:eastAsia="宋体" w:cs="Times New Roman"/>
      <w:szCs w:val="20"/>
    </w:rPr>
  </w:style>
  <w:style w:type="paragraph" w:styleId="15">
    <w:name w:val="toc 8"/>
    <w:basedOn w:val="1"/>
    <w:next w:val="1"/>
    <w:autoRedefine/>
    <w:unhideWhenUsed/>
    <w:qFormat/>
    <w:uiPriority w:val="39"/>
    <w:pPr>
      <w:ind w:left="1470"/>
      <w:jc w:val="left"/>
    </w:pPr>
    <w:rPr>
      <w:rFonts w:eastAsiaTheme="minorHAnsi"/>
      <w:sz w:val="18"/>
      <w:szCs w:val="18"/>
    </w:rPr>
  </w:style>
  <w:style w:type="paragraph" w:styleId="16">
    <w:name w:val="Balloon Text"/>
    <w:basedOn w:val="1"/>
    <w:link w:val="46"/>
    <w:autoRedefine/>
    <w:semiHidden/>
    <w:unhideWhenUsed/>
    <w:qFormat/>
    <w:uiPriority w:val="99"/>
    <w:rPr>
      <w:sz w:val="18"/>
      <w:szCs w:val="18"/>
    </w:rPr>
  </w:style>
  <w:style w:type="paragraph" w:styleId="17">
    <w:name w:val="footer"/>
    <w:basedOn w:val="1"/>
    <w:next w:val="1"/>
    <w:link w:val="33"/>
    <w:autoRedefine/>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18">
    <w:name w:val="header"/>
    <w:basedOn w:val="1"/>
    <w:link w:val="3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pPr>
      <w:tabs>
        <w:tab w:val="right" w:leader="dot" w:pos="8296"/>
      </w:tabs>
      <w:spacing w:before="120" w:after="120"/>
      <w:jc w:val="center"/>
    </w:pPr>
    <w:rPr>
      <w:rFonts w:eastAsiaTheme="minorHAnsi"/>
      <w:b/>
      <w:bCs/>
      <w:caps/>
      <w:sz w:val="44"/>
      <w:szCs w:val="44"/>
    </w:rPr>
  </w:style>
  <w:style w:type="paragraph" w:styleId="20">
    <w:name w:val="toc 4"/>
    <w:basedOn w:val="1"/>
    <w:next w:val="1"/>
    <w:autoRedefine/>
    <w:unhideWhenUsed/>
    <w:qFormat/>
    <w:uiPriority w:val="39"/>
    <w:pPr>
      <w:ind w:left="630"/>
      <w:jc w:val="left"/>
    </w:pPr>
    <w:rPr>
      <w:rFonts w:eastAsiaTheme="minorHAnsi"/>
      <w:sz w:val="18"/>
      <w:szCs w:val="18"/>
    </w:rPr>
  </w:style>
  <w:style w:type="paragraph" w:styleId="21">
    <w:name w:val="toc 6"/>
    <w:basedOn w:val="1"/>
    <w:next w:val="1"/>
    <w:autoRedefine/>
    <w:unhideWhenUsed/>
    <w:qFormat/>
    <w:uiPriority w:val="39"/>
    <w:pPr>
      <w:ind w:left="1050"/>
      <w:jc w:val="left"/>
    </w:pPr>
    <w:rPr>
      <w:rFonts w:eastAsiaTheme="minorHAnsi"/>
      <w:sz w:val="18"/>
      <w:szCs w:val="18"/>
    </w:rPr>
  </w:style>
  <w:style w:type="paragraph" w:styleId="22">
    <w:name w:val="toc 2"/>
    <w:basedOn w:val="1"/>
    <w:next w:val="1"/>
    <w:autoRedefine/>
    <w:unhideWhenUsed/>
    <w:qFormat/>
    <w:uiPriority w:val="39"/>
    <w:pPr>
      <w:ind w:left="210"/>
      <w:jc w:val="left"/>
    </w:pPr>
    <w:rPr>
      <w:rFonts w:eastAsiaTheme="minorHAnsi"/>
      <w:smallCaps/>
      <w:sz w:val="20"/>
      <w:szCs w:val="20"/>
    </w:rPr>
  </w:style>
  <w:style w:type="paragraph" w:styleId="23">
    <w:name w:val="toc 9"/>
    <w:basedOn w:val="1"/>
    <w:next w:val="1"/>
    <w:autoRedefine/>
    <w:unhideWhenUsed/>
    <w:qFormat/>
    <w:uiPriority w:val="39"/>
    <w:pPr>
      <w:ind w:left="1680"/>
      <w:jc w:val="left"/>
    </w:pPr>
    <w:rPr>
      <w:rFonts w:eastAsiaTheme="minorHAnsi"/>
      <w:sz w:val="18"/>
      <w:szCs w:val="18"/>
    </w:rPr>
  </w:style>
  <w:style w:type="paragraph" w:styleId="24">
    <w:name w:val="Normal (Web)"/>
    <w:basedOn w:val="1"/>
    <w:autoRedefine/>
    <w:qFormat/>
    <w:uiPriority w:val="0"/>
    <w:pPr>
      <w:spacing w:before="75" w:after="75"/>
      <w:jc w:val="left"/>
    </w:pPr>
    <w:rPr>
      <w:rFonts w:cs="Times New Roman"/>
      <w:kern w:val="0"/>
      <w:sz w:val="24"/>
      <w:szCs w:val="24"/>
    </w:rPr>
  </w:style>
  <w:style w:type="paragraph" w:styleId="25">
    <w:name w:val="Title"/>
    <w:basedOn w:val="1"/>
    <w:next w:val="1"/>
    <w:link w:val="40"/>
    <w:autoRedefine/>
    <w:qFormat/>
    <w:uiPriority w:val="0"/>
    <w:pPr>
      <w:spacing w:before="240" w:after="60" w:line="320" w:lineRule="exact"/>
      <w:jc w:val="center"/>
      <w:outlineLvl w:val="0"/>
    </w:pPr>
    <w:rPr>
      <w:rFonts w:ascii="Verdana" w:hAnsi="Verdana" w:eastAsia="宋体" w:cs="Verdana"/>
      <w:b/>
      <w:bCs/>
      <w:sz w:val="32"/>
      <w:szCs w:val="32"/>
    </w:rPr>
  </w:style>
  <w:style w:type="paragraph" w:styleId="26">
    <w:name w:val="annotation subject"/>
    <w:basedOn w:val="11"/>
    <w:next w:val="11"/>
    <w:link w:val="54"/>
    <w:semiHidden/>
    <w:unhideWhenUsed/>
    <w:qFormat/>
    <w:uiPriority w:val="99"/>
    <w:rPr>
      <w:b/>
      <w:bCs/>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basedOn w:val="29"/>
    <w:qFormat/>
    <w:uiPriority w:val="0"/>
    <w:rPr>
      <w:b/>
    </w:rPr>
  </w:style>
  <w:style w:type="character" w:styleId="31">
    <w:name w:val="Hyperlink"/>
    <w:basedOn w:val="29"/>
    <w:autoRedefine/>
    <w:unhideWhenUsed/>
    <w:qFormat/>
    <w:uiPriority w:val="99"/>
    <w:rPr>
      <w:color w:val="0563C1" w:themeColor="hyperlink"/>
      <w:u w:val="single"/>
      <w14:textFill>
        <w14:solidFill>
          <w14:schemeClr w14:val="hlink"/>
        </w14:solidFill>
      </w14:textFill>
    </w:rPr>
  </w:style>
  <w:style w:type="character" w:styleId="32">
    <w:name w:val="annotation reference"/>
    <w:basedOn w:val="29"/>
    <w:autoRedefine/>
    <w:semiHidden/>
    <w:unhideWhenUsed/>
    <w:qFormat/>
    <w:uiPriority w:val="99"/>
    <w:rPr>
      <w:sz w:val="21"/>
      <w:szCs w:val="21"/>
    </w:rPr>
  </w:style>
  <w:style w:type="character" w:customStyle="1" w:styleId="33">
    <w:name w:val="页脚 Char"/>
    <w:basedOn w:val="29"/>
    <w:link w:val="17"/>
    <w:autoRedefine/>
    <w:qFormat/>
    <w:uiPriority w:val="99"/>
    <w:rPr>
      <w:rFonts w:ascii="Times New Roman" w:hAnsi="Times New Roman" w:eastAsia="宋体" w:cs="Times New Roman"/>
      <w:sz w:val="18"/>
      <w:szCs w:val="18"/>
    </w:rPr>
  </w:style>
  <w:style w:type="paragraph" w:styleId="34">
    <w:name w:val="List Paragraph"/>
    <w:basedOn w:val="1"/>
    <w:autoRedefine/>
    <w:unhideWhenUsed/>
    <w:qFormat/>
    <w:uiPriority w:val="0"/>
    <w:pPr>
      <w:ind w:firstLine="420" w:firstLineChars="200"/>
    </w:pPr>
    <w:rPr>
      <w:rFonts w:ascii="Times New Roman" w:hAnsi="Times New Roman" w:eastAsia="宋体" w:cs="Times New Roman"/>
      <w:szCs w:val="21"/>
    </w:rPr>
  </w:style>
  <w:style w:type="character" w:customStyle="1" w:styleId="35">
    <w:name w:val="纯文本 Char"/>
    <w:basedOn w:val="29"/>
    <w:link w:val="14"/>
    <w:autoRedefine/>
    <w:qFormat/>
    <w:uiPriority w:val="0"/>
    <w:rPr>
      <w:rFonts w:ascii="Times New Roman" w:hAnsi="Times New Roman" w:eastAsia="宋体" w:cs="Times New Roman"/>
      <w:szCs w:val="20"/>
    </w:rPr>
  </w:style>
  <w:style w:type="paragraph" w:customStyle="1" w:styleId="36">
    <w:name w:val="1-1章"/>
    <w:basedOn w:val="1"/>
    <w:autoRedefine/>
    <w:qFormat/>
    <w:uiPriority w:val="0"/>
    <w:pPr>
      <w:spacing w:line="480" w:lineRule="exact"/>
      <w:jc w:val="center"/>
      <w:outlineLvl w:val="0"/>
    </w:pPr>
    <w:rPr>
      <w:rFonts w:ascii="黑体" w:hAnsi="黑体" w:eastAsia="黑体" w:cs="Times New Roman"/>
      <w:b/>
      <w:bCs/>
      <w:sz w:val="36"/>
      <w:szCs w:val="36"/>
    </w:rPr>
  </w:style>
  <w:style w:type="character" w:customStyle="1" w:styleId="37">
    <w:name w:val="页眉 Char"/>
    <w:basedOn w:val="29"/>
    <w:link w:val="18"/>
    <w:autoRedefine/>
    <w:qFormat/>
    <w:uiPriority w:val="99"/>
    <w:rPr>
      <w:sz w:val="18"/>
      <w:szCs w:val="18"/>
    </w:rPr>
  </w:style>
  <w:style w:type="character" w:customStyle="1" w:styleId="38">
    <w:name w:val="标题 字符"/>
    <w:basedOn w:val="29"/>
    <w:autoRedefine/>
    <w:qFormat/>
    <w:uiPriority w:val="10"/>
    <w:rPr>
      <w:rFonts w:asciiTheme="majorHAnsi" w:hAnsiTheme="majorHAnsi" w:eastAsiaTheme="majorEastAsia" w:cstheme="majorBidi"/>
      <w:b/>
      <w:bCs/>
      <w:sz w:val="32"/>
      <w:szCs w:val="32"/>
    </w:rPr>
  </w:style>
  <w:style w:type="character" w:customStyle="1" w:styleId="39">
    <w:name w:val="纯文本 字符1"/>
    <w:autoRedefine/>
    <w:qFormat/>
    <w:uiPriority w:val="0"/>
    <w:rPr>
      <w:rFonts w:ascii="Ђˎ̥" w:hAnsi="Verdana" w:eastAsia="Ђˎ̥"/>
      <w:szCs w:val="21"/>
    </w:rPr>
  </w:style>
  <w:style w:type="character" w:customStyle="1" w:styleId="40">
    <w:name w:val="标题 Char"/>
    <w:link w:val="25"/>
    <w:autoRedefine/>
    <w:qFormat/>
    <w:uiPriority w:val="0"/>
    <w:rPr>
      <w:rFonts w:ascii="Verdana" w:hAnsi="Verdana" w:eastAsia="宋体" w:cs="Verdana"/>
      <w:b/>
      <w:bCs/>
      <w:sz w:val="32"/>
      <w:szCs w:val="32"/>
    </w:rPr>
  </w:style>
  <w:style w:type="character" w:customStyle="1" w:styleId="41">
    <w:name w:val="标题 1 Char"/>
    <w:basedOn w:val="29"/>
    <w:link w:val="3"/>
    <w:autoRedefine/>
    <w:qFormat/>
    <w:uiPriority w:val="9"/>
    <w:rPr>
      <w:b/>
      <w:bCs/>
      <w:kern w:val="44"/>
      <w:sz w:val="44"/>
      <w:szCs w:val="44"/>
    </w:rPr>
  </w:style>
  <w:style w:type="paragraph" w:customStyle="1" w:styleId="42">
    <w:name w:val="TOC 标题1"/>
    <w:basedOn w:val="3"/>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43">
    <w:name w:val="标题 2 Char"/>
    <w:basedOn w:val="29"/>
    <w:link w:val="4"/>
    <w:autoRedefine/>
    <w:qFormat/>
    <w:uiPriority w:val="9"/>
    <w:rPr>
      <w:rFonts w:asciiTheme="majorHAnsi" w:hAnsiTheme="majorHAnsi" w:eastAsiaTheme="majorEastAsia" w:cstheme="majorBidi"/>
      <w:b/>
      <w:bCs/>
      <w:sz w:val="32"/>
      <w:szCs w:val="32"/>
    </w:rPr>
  </w:style>
  <w:style w:type="character" w:customStyle="1" w:styleId="44">
    <w:name w:val="未处理的提及1"/>
    <w:basedOn w:val="29"/>
    <w:autoRedefine/>
    <w:semiHidden/>
    <w:unhideWhenUsed/>
    <w:qFormat/>
    <w:uiPriority w:val="99"/>
    <w:rPr>
      <w:color w:val="605E5C"/>
      <w:shd w:val="clear" w:color="auto" w:fill="E1DFDD"/>
    </w:rPr>
  </w:style>
  <w:style w:type="character" w:customStyle="1" w:styleId="45">
    <w:name w:val="标题 3 Char"/>
    <w:basedOn w:val="29"/>
    <w:link w:val="5"/>
    <w:autoRedefine/>
    <w:qFormat/>
    <w:uiPriority w:val="9"/>
    <w:rPr>
      <w:b/>
      <w:bCs/>
      <w:sz w:val="32"/>
      <w:szCs w:val="32"/>
    </w:rPr>
  </w:style>
  <w:style w:type="character" w:customStyle="1" w:styleId="46">
    <w:name w:val="批注框文本 Char"/>
    <w:basedOn w:val="29"/>
    <w:link w:val="16"/>
    <w:autoRedefine/>
    <w:semiHidden/>
    <w:qFormat/>
    <w:uiPriority w:val="99"/>
    <w:rPr>
      <w:sz w:val="18"/>
      <w:szCs w:val="18"/>
    </w:rPr>
  </w:style>
  <w:style w:type="character" w:customStyle="1" w:styleId="47">
    <w:name w:val="font11"/>
    <w:basedOn w:val="29"/>
    <w:autoRedefine/>
    <w:qFormat/>
    <w:uiPriority w:val="0"/>
    <w:rPr>
      <w:rFonts w:hint="eastAsia" w:ascii="微软雅黑" w:hAnsi="微软雅黑" w:eastAsia="微软雅黑"/>
      <w:b/>
      <w:bCs/>
      <w:color w:val="252669"/>
      <w:sz w:val="21"/>
      <w:szCs w:val="21"/>
      <w:u w:val="none"/>
    </w:rPr>
  </w:style>
  <w:style w:type="paragraph" w:customStyle="1" w:styleId="48">
    <w:name w:val="样式 首行缩进:  2 字符"/>
    <w:basedOn w:val="1"/>
    <w:autoRedefine/>
    <w:qFormat/>
    <w:uiPriority w:val="0"/>
    <w:pPr>
      <w:spacing w:line="360" w:lineRule="auto"/>
      <w:pPrChange w:id="4" w:author="Lan" w:date="2024-05-07T10:46:00Z">
        <w:pPr>
          <w:widowControl w:val="0"/>
          <w:spacing w:line="360" w:lineRule="auto"/>
          <w:ind w:firstLine="420" w:firstLineChars="200"/>
          <w:jc w:val="both"/>
        </w:pPr>
      </w:pPrChange>
    </w:pPr>
    <w:rPr>
      <w:rFonts w:ascii="Times New Roman" w:hAnsi="Times New Roman" w:eastAsia="宋体" w:cs="宋体"/>
      <w:sz w:val="24"/>
      <w:szCs w:val="20"/>
      <w:rPrChange w:id="5" w:author="Lan" w:date="2024-05-07T10:46:00Z">
        <w:rPr>
          <w:rFonts w:eastAsia="宋体" w:cs="宋体"/>
          <w:kern w:val="2"/>
          <w:sz w:val="24"/>
          <w:lang w:val="en-US" w:eastAsia="zh-CN" w:bidi="ar-SA"/>
        </w:rPr>
      </w:rPrChange>
    </w:rPr>
  </w:style>
  <w:style w:type="character" w:customStyle="1" w:styleId="49">
    <w:name w:val="正文文本 Char"/>
    <w:basedOn w:val="29"/>
    <w:link w:val="9"/>
    <w:autoRedefine/>
    <w:qFormat/>
    <w:uiPriority w:val="99"/>
    <w:rPr>
      <w:rFonts w:cs="仿宋" w:asciiTheme="minorHAnsi" w:hAnsiTheme="minorHAnsi" w:eastAsiaTheme="minorEastAsia"/>
      <w:kern w:val="2"/>
      <w:sz w:val="21"/>
      <w:szCs w:val="28"/>
    </w:rPr>
  </w:style>
  <w:style w:type="paragraph" w:customStyle="1" w:styleId="50">
    <w:name w:val="样式 首行缩进: 2 字符"/>
    <w:basedOn w:val="1"/>
    <w:autoRedefine/>
    <w:qFormat/>
    <w:uiPriority w:val="0"/>
    <w:pPr>
      <w:spacing w:line="360" w:lineRule="auto"/>
      <w:ind w:firstLine="420" w:firstLineChars="200"/>
    </w:pPr>
    <w:rPr>
      <w:rFonts w:ascii="Times New Roman" w:hAnsi="Times New Roman" w:eastAsia="宋体" w:cs="Times New Roman"/>
      <w:sz w:val="24"/>
      <w:szCs w:val="24"/>
    </w:rPr>
  </w:style>
  <w:style w:type="paragraph" w:customStyle="1" w:styleId="51">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53">
    <w:name w:val="批注文字 Char"/>
    <w:basedOn w:val="29"/>
    <w:link w:val="11"/>
    <w:qFormat/>
    <w:uiPriority w:val="99"/>
    <w:rPr>
      <w:rFonts w:asciiTheme="minorHAnsi" w:hAnsiTheme="minorHAnsi" w:eastAsiaTheme="minorEastAsia" w:cstheme="minorBidi"/>
      <w:kern w:val="2"/>
      <w:sz w:val="21"/>
      <w:szCs w:val="22"/>
    </w:rPr>
  </w:style>
  <w:style w:type="character" w:customStyle="1" w:styleId="54">
    <w:name w:val="批注主题 Char"/>
    <w:basedOn w:val="53"/>
    <w:link w:val="2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EF7C4-0673-4D92-81FA-9DAA59033B19}">
  <ds:schemaRefs/>
</ds:datastoreItem>
</file>

<file path=docProps/app.xml><?xml version="1.0" encoding="utf-8"?>
<Properties xmlns="http://schemas.openxmlformats.org/officeDocument/2006/extended-properties" xmlns:vt="http://schemas.openxmlformats.org/officeDocument/2006/docPropsVTypes">
  <Template>Normal</Template>
  <Pages>10</Pages>
  <Words>22997</Words>
  <Characters>29157</Characters>
  <Lines>236</Lines>
  <Paragraphs>66</Paragraphs>
  <TotalTime>6</TotalTime>
  <ScaleCrop>false</ScaleCrop>
  <LinksUpToDate>false</LinksUpToDate>
  <CharactersWithSpaces>29908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2024-06-13T08:23:00Z</dcterms:created>
  <dc:creator>Toyama Kasumi</dc:creator>
  <cp:lastModifiedBy>Lan</cp:lastModifiedBy>
  <cp:lastPrinted>2024-06-05T03:26:00Z</cp:lastPrinted>
  <dcterms:modified xsi:type="dcterms:W3CDTF">2024-06-19T01:47:27Z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722266DE290F42C8A0B0EDE47D44A5D8_13</vt:lpwstr>
  </property>
</Properties>
</file>